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6DEC3" w14:textId="77777777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44C1D9DA" w14:textId="77777777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6A2E4037" w14:textId="31FCA7E5" w:rsidR="006933D4" w:rsidRPr="00B10626" w:rsidRDefault="00B10626" w:rsidP="00B10626">
      <w:pPr>
        <w:spacing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b/>
          <w:bCs/>
          <w:sz w:val="22"/>
        </w:rPr>
        <w:t>JUDECĂTORIA ............</w:t>
      </w:r>
      <w:r>
        <w:rPr>
          <w:rFonts w:ascii="Tahoma" w:hAnsi="Tahoma" w:cs="Tahoma"/>
          <w:sz w:val="22"/>
        </w:rPr>
        <w:t>..</w:t>
      </w:r>
    </w:p>
    <w:p w14:paraId="31C9DD1F" w14:textId="736409E0" w:rsidR="002B5A5A" w:rsidRDefault="002B5A5A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5FDBC8DD" w14:textId="0DB5B51C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0EF19917" w14:textId="658AB762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15AA1501" w14:textId="5BCF5BFB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3D089994" w14:textId="77777777" w:rsid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15B1E070" w14:textId="77777777" w:rsidR="00B10626" w:rsidRPr="00B10626" w:rsidRDefault="00B10626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p w14:paraId="734D33B9" w14:textId="1C93F67E" w:rsidR="002B5A5A" w:rsidRPr="00B10626" w:rsidRDefault="002B5A5A" w:rsidP="00B10626">
      <w:pPr>
        <w:pStyle w:val="Titlu1"/>
        <w:spacing w:line="276" w:lineRule="auto"/>
        <w:ind w:left="0"/>
        <w:rPr>
          <w:rFonts w:ascii="Tahoma" w:hAnsi="Tahoma" w:cs="Tahoma"/>
          <w:sz w:val="22"/>
          <w:lang w:val="ro-RO"/>
        </w:rPr>
      </w:pPr>
      <w:r w:rsidRPr="00B10626">
        <w:rPr>
          <w:rFonts w:ascii="Tahoma" w:hAnsi="Tahoma" w:cs="Tahoma"/>
          <w:sz w:val="22"/>
          <w:lang w:val="ro-RO"/>
        </w:rPr>
        <w:t>DOMNULE  PREȘEDINTE,</w:t>
      </w:r>
    </w:p>
    <w:p w14:paraId="3CC1920A" w14:textId="720E740E" w:rsidR="002B5A5A" w:rsidRPr="00B10626" w:rsidRDefault="002B5A5A" w:rsidP="0008682C">
      <w:pPr>
        <w:spacing w:after="344" w:line="276" w:lineRule="auto"/>
        <w:ind w:left="0" w:firstLine="0"/>
        <w:rPr>
          <w:rFonts w:ascii="Tahoma" w:hAnsi="Tahoma" w:cs="Tahoma"/>
          <w:b/>
          <w:sz w:val="22"/>
        </w:rPr>
      </w:pPr>
      <w:r w:rsidRPr="00B10626">
        <w:rPr>
          <w:rFonts w:ascii="Tahoma" w:hAnsi="Tahoma" w:cs="Tahoma"/>
          <w:sz w:val="22"/>
        </w:rPr>
        <w:t xml:space="preserve"> </w:t>
      </w: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 xml:space="preserve">Subsemnatul, </w:t>
      </w:r>
      <w:r w:rsidRPr="00B10626">
        <w:rPr>
          <w:rFonts w:ascii="Tahoma" w:hAnsi="Tahoma" w:cs="Tahoma"/>
          <w:b/>
          <w:sz w:val="22"/>
        </w:rPr>
        <w:t>……………</w:t>
      </w:r>
      <w:r w:rsidRPr="00B10626">
        <w:rPr>
          <w:rFonts w:ascii="Tahoma" w:hAnsi="Tahoma" w:cs="Tahoma"/>
          <w:b/>
          <w:sz w:val="22"/>
        </w:rPr>
        <w:t xml:space="preserve">, </w:t>
      </w:r>
      <w:r w:rsidRPr="00B10626">
        <w:rPr>
          <w:rFonts w:ascii="Tahoma" w:hAnsi="Tahoma" w:cs="Tahoma"/>
          <w:bCs/>
          <w:sz w:val="22"/>
        </w:rPr>
        <w:t>domicili</w:t>
      </w:r>
      <w:r w:rsidRPr="00B10626">
        <w:rPr>
          <w:rFonts w:ascii="Tahoma" w:hAnsi="Tahoma" w:cs="Tahoma"/>
          <w:bCs/>
          <w:sz w:val="22"/>
        </w:rPr>
        <w:t>at în …………………………</w:t>
      </w:r>
      <w:r w:rsidR="003243C4" w:rsidRPr="00B10626">
        <w:rPr>
          <w:rFonts w:ascii="Tahoma" w:hAnsi="Tahoma" w:cs="Tahoma"/>
          <w:bCs/>
          <w:sz w:val="22"/>
        </w:rPr>
        <w:t xml:space="preserve"> </w:t>
      </w:r>
      <w:r w:rsidRPr="00B10626">
        <w:rPr>
          <w:rFonts w:ascii="Tahoma" w:hAnsi="Tahoma" w:cs="Tahoma"/>
          <w:bCs/>
          <w:sz w:val="22"/>
        </w:rPr>
        <w:t xml:space="preserve">, </w:t>
      </w:r>
      <w:r w:rsidRPr="00B10626">
        <w:rPr>
          <w:rFonts w:ascii="Tahoma" w:hAnsi="Tahoma" w:cs="Tahoma"/>
          <w:bCs/>
          <w:sz w:val="22"/>
        </w:rPr>
        <w:t xml:space="preserve">având CNP …….., identificat cu CI. seria …., nr. </w:t>
      </w:r>
      <w:r w:rsidR="003243C4" w:rsidRPr="00B10626">
        <w:rPr>
          <w:rFonts w:ascii="Tahoma" w:hAnsi="Tahoma" w:cs="Tahoma"/>
          <w:bCs/>
          <w:sz w:val="22"/>
        </w:rPr>
        <w:t>….</w:t>
      </w:r>
      <w:r w:rsidRPr="00B10626">
        <w:rPr>
          <w:rFonts w:ascii="Tahoma" w:hAnsi="Tahoma" w:cs="Tahoma"/>
          <w:bCs/>
          <w:sz w:val="22"/>
        </w:rPr>
        <w:t xml:space="preserve">………, </w:t>
      </w:r>
      <w:r w:rsidRPr="00B10626">
        <w:rPr>
          <w:rFonts w:ascii="Tahoma" w:hAnsi="Tahoma" w:cs="Tahoma"/>
          <w:bCs/>
          <w:sz w:val="22"/>
        </w:rPr>
        <w:t xml:space="preserve">în calitate de </w:t>
      </w:r>
      <w:r w:rsidRPr="00B10626">
        <w:rPr>
          <w:rFonts w:ascii="Tahoma" w:hAnsi="Tahoma" w:cs="Tahoma"/>
          <w:b/>
          <w:sz w:val="22"/>
        </w:rPr>
        <w:t>petent,</w:t>
      </w:r>
      <w:r w:rsidRPr="00B10626">
        <w:rPr>
          <w:rFonts w:ascii="Tahoma" w:hAnsi="Tahoma" w:cs="Tahoma"/>
          <w:sz w:val="22"/>
        </w:rPr>
        <w:t xml:space="preserve"> </w:t>
      </w:r>
      <w:r w:rsidRPr="00B10626">
        <w:rPr>
          <w:rFonts w:ascii="Tahoma" w:hAnsi="Tahoma" w:cs="Tahoma"/>
          <w:i/>
          <w:sz w:val="22"/>
        </w:rPr>
        <w:t>în contradictoriu cu</w:t>
      </w:r>
      <w:r w:rsidRPr="00B10626">
        <w:rPr>
          <w:rFonts w:ascii="Tahoma" w:hAnsi="Tahoma" w:cs="Tahoma"/>
          <w:i/>
          <w:sz w:val="22"/>
        </w:rPr>
        <w:t xml:space="preserve"> (după caz)</w:t>
      </w:r>
      <w:r w:rsidRPr="00B10626">
        <w:rPr>
          <w:rFonts w:ascii="Tahoma" w:hAnsi="Tahoma" w:cs="Tahoma"/>
          <w:i/>
          <w:sz w:val="22"/>
        </w:rPr>
        <w:t>:</w:t>
      </w:r>
      <w:r w:rsidRPr="00B10626">
        <w:rPr>
          <w:rFonts w:ascii="Tahoma" w:hAnsi="Tahoma" w:cs="Tahoma"/>
          <w:i/>
          <w:sz w:val="22"/>
        </w:rPr>
        <w:t xml:space="preserve"> </w:t>
      </w:r>
      <w:r w:rsidRPr="00B10626">
        <w:rPr>
          <w:rFonts w:ascii="Tahoma" w:hAnsi="Tahoma" w:cs="Tahoma"/>
          <w:b/>
          <w:sz w:val="22"/>
        </w:rPr>
        <w:t xml:space="preserve">DIRECȚIA GENERALĂ DE POLIȚIE A MUNICIPIULUI BUCUREȘTI, </w:t>
      </w:r>
      <w:r w:rsidRPr="00B10626">
        <w:rPr>
          <w:rFonts w:ascii="Tahoma" w:hAnsi="Tahoma" w:cs="Tahoma"/>
          <w:sz w:val="22"/>
        </w:rPr>
        <w:t>cu sediul în Mun. București, Sector 3, Calea Victoriei, nr. 19</w:t>
      </w:r>
      <w:r w:rsidRPr="00B10626">
        <w:rPr>
          <w:rFonts w:ascii="Tahoma" w:hAnsi="Tahoma" w:cs="Tahoma"/>
          <w:sz w:val="22"/>
        </w:rPr>
        <w:t>, în calitate de intimată</w:t>
      </w:r>
      <w:r w:rsidR="004F54FB" w:rsidRPr="00B10626">
        <w:rPr>
          <w:rFonts w:ascii="Tahoma" w:hAnsi="Tahoma" w:cs="Tahoma"/>
          <w:sz w:val="22"/>
        </w:rPr>
        <w:t xml:space="preserve">, în temeiul disp. art. 32 din OG. 2/2001, </w:t>
      </w:r>
      <w:r w:rsidRPr="00B10626">
        <w:rPr>
          <w:rFonts w:ascii="Tahoma" w:hAnsi="Tahoma" w:cs="Tahoma"/>
          <w:sz w:val="22"/>
        </w:rPr>
        <w:t>depunem preze</w:t>
      </w:r>
      <w:r w:rsidR="004F54FB" w:rsidRPr="00B10626">
        <w:rPr>
          <w:rFonts w:ascii="Tahoma" w:hAnsi="Tahoma" w:cs="Tahoma"/>
          <w:sz w:val="22"/>
        </w:rPr>
        <w:t>n</w:t>
      </w:r>
      <w:r w:rsidRPr="00B10626">
        <w:rPr>
          <w:rFonts w:ascii="Tahoma" w:hAnsi="Tahoma" w:cs="Tahoma"/>
          <w:sz w:val="22"/>
        </w:rPr>
        <w:t xml:space="preserve">ta </w:t>
      </w:r>
    </w:p>
    <w:p w14:paraId="14831ED7" w14:textId="1F630A7A" w:rsidR="002B5A5A" w:rsidRPr="00B10626" w:rsidRDefault="002B5A5A" w:rsidP="0008682C">
      <w:pPr>
        <w:pStyle w:val="Titlu1"/>
        <w:spacing w:line="276" w:lineRule="auto"/>
        <w:ind w:left="0"/>
        <w:rPr>
          <w:rFonts w:ascii="Tahoma" w:hAnsi="Tahoma" w:cs="Tahoma"/>
          <w:sz w:val="22"/>
          <w:lang w:val="ro-RO"/>
        </w:rPr>
      </w:pPr>
      <w:r w:rsidRPr="00B10626">
        <w:rPr>
          <w:rFonts w:ascii="Tahoma" w:hAnsi="Tahoma" w:cs="Tahoma"/>
          <w:sz w:val="22"/>
          <w:lang w:val="ro-RO"/>
        </w:rPr>
        <w:t>PLÂNGERE CONTRAVENȚIONALĂ</w:t>
      </w:r>
    </w:p>
    <w:p w14:paraId="283C05AC" w14:textId="46E445C0" w:rsidR="002B5A5A" w:rsidRPr="00B10626" w:rsidRDefault="002B5A5A" w:rsidP="00B10626">
      <w:pPr>
        <w:spacing w:after="120" w:line="276" w:lineRule="auto"/>
        <w:ind w:left="0" w:firstLine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b/>
          <w:sz w:val="22"/>
        </w:rPr>
        <w:t xml:space="preserve"> </w:t>
      </w:r>
      <w:r w:rsidRPr="00B10626">
        <w:rPr>
          <w:rFonts w:ascii="Tahoma" w:hAnsi="Tahoma" w:cs="Tahoma"/>
          <w:b/>
          <w:sz w:val="22"/>
        </w:rPr>
        <w:tab/>
      </w:r>
      <w:r w:rsidRPr="00B10626">
        <w:rPr>
          <w:rFonts w:ascii="Tahoma" w:hAnsi="Tahoma" w:cs="Tahoma"/>
          <w:sz w:val="22"/>
        </w:rPr>
        <w:t>Împotriva</w:t>
      </w:r>
      <w:r w:rsidRPr="00B10626">
        <w:rPr>
          <w:rFonts w:ascii="Tahoma" w:hAnsi="Tahoma" w:cs="Tahoma"/>
          <w:b/>
          <w:bCs/>
          <w:sz w:val="22"/>
        </w:rPr>
        <w:t xml:space="preserve"> </w:t>
      </w:r>
      <w:r w:rsidRPr="00B10626">
        <w:rPr>
          <w:rFonts w:ascii="Tahoma" w:hAnsi="Tahoma" w:cs="Tahoma"/>
          <w:b/>
          <w:bCs/>
          <w:sz w:val="22"/>
        </w:rPr>
        <w:t>P</w:t>
      </w:r>
      <w:r w:rsidRPr="00B10626">
        <w:rPr>
          <w:rFonts w:ascii="Tahoma" w:hAnsi="Tahoma" w:cs="Tahoma"/>
          <w:b/>
          <w:bCs/>
          <w:sz w:val="22"/>
        </w:rPr>
        <w:t>rocesului-verbal de contravenție seria P</w:t>
      </w:r>
      <w:r w:rsidRPr="00B10626">
        <w:rPr>
          <w:rFonts w:ascii="Tahoma" w:hAnsi="Tahoma" w:cs="Tahoma"/>
          <w:b/>
          <w:bCs/>
          <w:sz w:val="22"/>
        </w:rPr>
        <w:t>….</w:t>
      </w:r>
      <w:r w:rsidRPr="00B10626">
        <w:rPr>
          <w:rFonts w:ascii="Tahoma" w:hAnsi="Tahoma" w:cs="Tahoma"/>
          <w:b/>
          <w:bCs/>
          <w:sz w:val="22"/>
        </w:rPr>
        <w:t>, nr. 0</w:t>
      </w:r>
      <w:r w:rsidRPr="00B10626">
        <w:rPr>
          <w:rFonts w:ascii="Tahoma" w:hAnsi="Tahoma" w:cs="Tahoma"/>
          <w:b/>
          <w:bCs/>
          <w:sz w:val="22"/>
        </w:rPr>
        <w:t>…………</w:t>
      </w:r>
      <w:r w:rsidRPr="00B10626">
        <w:rPr>
          <w:rFonts w:ascii="Tahoma" w:hAnsi="Tahoma" w:cs="Tahoma"/>
          <w:sz w:val="22"/>
        </w:rPr>
        <w:t xml:space="preserve">, emis </w:t>
      </w:r>
      <w:r w:rsidR="003243C4" w:rsidRPr="00B10626">
        <w:rPr>
          <w:rFonts w:ascii="Tahoma" w:hAnsi="Tahoma" w:cs="Tahoma"/>
          <w:sz w:val="22"/>
        </w:rPr>
        <w:t xml:space="preserve">la </w:t>
      </w:r>
      <w:r w:rsidRPr="00B10626">
        <w:rPr>
          <w:rFonts w:ascii="Tahoma" w:hAnsi="Tahoma" w:cs="Tahoma"/>
          <w:sz w:val="22"/>
        </w:rPr>
        <w:t xml:space="preserve">data de </w:t>
      </w:r>
      <w:r w:rsidRPr="00B10626">
        <w:rPr>
          <w:rFonts w:ascii="Tahoma" w:hAnsi="Tahoma" w:cs="Tahoma"/>
          <w:sz w:val="22"/>
        </w:rPr>
        <w:t>_____________,</w:t>
      </w:r>
      <w:r w:rsidRPr="00B10626">
        <w:rPr>
          <w:rFonts w:ascii="Tahoma" w:hAnsi="Tahoma" w:cs="Tahoma"/>
          <w:sz w:val="22"/>
        </w:rPr>
        <w:t xml:space="preserve"> de către agentul constatator </w:t>
      </w:r>
      <w:r w:rsidR="003243C4" w:rsidRPr="00B10626">
        <w:rPr>
          <w:rFonts w:ascii="Tahoma" w:hAnsi="Tahoma" w:cs="Tahoma"/>
          <w:sz w:val="22"/>
        </w:rPr>
        <w:t xml:space="preserve">____________________, </w:t>
      </w:r>
      <w:r w:rsidRPr="00B10626">
        <w:rPr>
          <w:rFonts w:ascii="Tahoma" w:hAnsi="Tahoma" w:cs="Tahoma"/>
          <w:sz w:val="22"/>
        </w:rPr>
        <w:t xml:space="preserve"> prin care subsemnatul </w:t>
      </w:r>
      <w:r w:rsidR="0078512F" w:rsidRPr="00B10626">
        <w:rPr>
          <w:rFonts w:ascii="Tahoma" w:hAnsi="Tahoma" w:cs="Tahoma"/>
          <w:sz w:val="22"/>
        </w:rPr>
        <w:t xml:space="preserve">am fost sancționat cu </w:t>
      </w:r>
      <w:r w:rsidRPr="00B10626">
        <w:rPr>
          <w:rFonts w:ascii="Tahoma" w:hAnsi="Tahoma" w:cs="Tahoma"/>
          <w:sz w:val="22"/>
        </w:rPr>
        <w:t xml:space="preserve">amenda </w:t>
      </w:r>
      <w:r w:rsidR="004F54FB" w:rsidRPr="00B10626">
        <w:rPr>
          <w:rFonts w:ascii="Tahoma" w:hAnsi="Tahoma" w:cs="Tahoma"/>
          <w:sz w:val="22"/>
        </w:rPr>
        <w:t>c</w:t>
      </w:r>
      <w:r w:rsidRPr="00B10626">
        <w:rPr>
          <w:rFonts w:ascii="Tahoma" w:hAnsi="Tahoma" w:cs="Tahoma"/>
          <w:sz w:val="22"/>
        </w:rPr>
        <w:t xml:space="preserve">ontravențională în valoare de </w:t>
      </w:r>
      <w:r w:rsidR="003243C4" w:rsidRPr="00B10626">
        <w:rPr>
          <w:rFonts w:ascii="Tahoma" w:hAnsi="Tahoma" w:cs="Tahoma"/>
          <w:sz w:val="22"/>
        </w:rPr>
        <w:t>…………..LEI</w:t>
      </w:r>
      <w:r w:rsidRPr="00B10626">
        <w:rPr>
          <w:rFonts w:ascii="Tahoma" w:hAnsi="Tahoma" w:cs="Tahoma"/>
          <w:sz w:val="22"/>
        </w:rPr>
        <w:t xml:space="preserve">, pentru </w:t>
      </w:r>
      <w:proofErr w:type="spellStart"/>
      <w:r w:rsidRPr="00B10626">
        <w:rPr>
          <w:rFonts w:ascii="Tahoma" w:hAnsi="Tahoma" w:cs="Tahoma"/>
          <w:sz w:val="22"/>
        </w:rPr>
        <w:t>nepurtarea</w:t>
      </w:r>
      <w:proofErr w:type="spellEnd"/>
      <w:r w:rsidR="003243C4" w:rsidRPr="00B10626">
        <w:rPr>
          <w:rFonts w:ascii="Tahoma" w:hAnsi="Tahoma" w:cs="Tahoma"/>
          <w:sz w:val="22"/>
        </w:rPr>
        <w:t xml:space="preserve"> / purtarea necorespunzătoare a </w:t>
      </w:r>
      <w:r w:rsidR="004F54FB" w:rsidRPr="00B10626">
        <w:rPr>
          <w:rFonts w:ascii="Tahoma" w:hAnsi="Tahoma" w:cs="Tahoma"/>
          <w:sz w:val="22"/>
        </w:rPr>
        <w:t>”</w:t>
      </w:r>
      <w:r w:rsidRPr="00B10626">
        <w:rPr>
          <w:rFonts w:ascii="Tahoma" w:hAnsi="Tahoma" w:cs="Tahoma"/>
          <w:sz w:val="22"/>
        </w:rPr>
        <w:t>măștii de protecție</w:t>
      </w:r>
      <w:r w:rsidR="004F54FB" w:rsidRPr="00B10626">
        <w:rPr>
          <w:rFonts w:ascii="Tahoma" w:hAnsi="Tahoma" w:cs="Tahoma"/>
          <w:sz w:val="22"/>
        </w:rPr>
        <w:t>”</w:t>
      </w:r>
      <w:r w:rsidRPr="00B10626">
        <w:rPr>
          <w:rFonts w:ascii="Tahoma" w:hAnsi="Tahoma" w:cs="Tahoma"/>
          <w:sz w:val="22"/>
        </w:rPr>
        <w:t xml:space="preserve"> </w:t>
      </w:r>
      <w:r w:rsidR="003243C4" w:rsidRPr="00B10626">
        <w:rPr>
          <w:rFonts w:ascii="Tahoma" w:hAnsi="Tahoma" w:cs="Tahoma"/>
          <w:sz w:val="22"/>
        </w:rPr>
        <w:t>în spațiu deschis /</w:t>
      </w:r>
      <w:proofErr w:type="spellStart"/>
      <w:r w:rsidRPr="00B10626">
        <w:rPr>
          <w:rFonts w:ascii="Tahoma" w:hAnsi="Tahoma" w:cs="Tahoma"/>
          <w:sz w:val="22"/>
        </w:rPr>
        <w:t>intr-o</w:t>
      </w:r>
      <w:proofErr w:type="spellEnd"/>
      <w:r w:rsidRPr="00B10626">
        <w:rPr>
          <w:rFonts w:ascii="Tahoma" w:hAnsi="Tahoma" w:cs="Tahoma"/>
          <w:sz w:val="22"/>
        </w:rPr>
        <w:t xml:space="preserve"> zonă publică</w:t>
      </w:r>
      <w:r w:rsidR="003243C4" w:rsidRPr="00B10626">
        <w:rPr>
          <w:rFonts w:ascii="Tahoma" w:hAnsi="Tahoma" w:cs="Tahoma"/>
          <w:sz w:val="22"/>
        </w:rPr>
        <w:t xml:space="preserve"> / incinta ……</w:t>
      </w:r>
      <w:r w:rsidRPr="00B10626">
        <w:rPr>
          <w:rFonts w:ascii="Tahoma" w:hAnsi="Tahoma" w:cs="Tahoma"/>
          <w:sz w:val="22"/>
        </w:rPr>
        <w:t xml:space="preserve"> </w:t>
      </w:r>
    </w:p>
    <w:p w14:paraId="00DC60EF" w14:textId="6B1B979B" w:rsidR="00B11E13" w:rsidRPr="00B10626" w:rsidRDefault="00B11E13" w:rsidP="00B10626">
      <w:pPr>
        <w:spacing w:after="120" w:line="276" w:lineRule="auto"/>
        <w:ind w:left="0" w:firstLine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Solicit anularea procesului-verbal menționat pentru </w:t>
      </w:r>
      <w:r w:rsidR="00E54C6E" w:rsidRPr="00B10626">
        <w:rPr>
          <w:rFonts w:ascii="Tahoma" w:hAnsi="Tahoma" w:cs="Tahoma"/>
          <w:sz w:val="22"/>
        </w:rPr>
        <w:t xml:space="preserve">inexistența faptei prin raportare la prevederile legale invocate, așa cum voi arăta mai jos, </w:t>
      </w:r>
      <w:r w:rsidRPr="00B10626">
        <w:rPr>
          <w:rFonts w:ascii="Tahoma" w:hAnsi="Tahoma" w:cs="Tahoma"/>
          <w:sz w:val="22"/>
        </w:rPr>
        <w:t xml:space="preserve">pentru imposibilitatea dovedirii de către agentul constatator a faptelor imputate, prin raportare la </w:t>
      </w:r>
      <w:r w:rsidR="004F54FB" w:rsidRPr="00B10626">
        <w:rPr>
          <w:rFonts w:ascii="Tahoma" w:hAnsi="Tahoma" w:cs="Tahoma"/>
          <w:sz w:val="22"/>
        </w:rPr>
        <w:t xml:space="preserve">aceste </w:t>
      </w:r>
      <w:r w:rsidRPr="00B10626">
        <w:rPr>
          <w:rFonts w:ascii="Tahoma" w:hAnsi="Tahoma" w:cs="Tahoma"/>
          <w:sz w:val="22"/>
        </w:rPr>
        <w:t>dispoziții legale</w:t>
      </w:r>
      <w:r w:rsidR="00E54C6E" w:rsidRPr="00B10626">
        <w:rPr>
          <w:rFonts w:ascii="Tahoma" w:hAnsi="Tahoma" w:cs="Tahoma"/>
          <w:sz w:val="22"/>
        </w:rPr>
        <w:t xml:space="preserve"> </w:t>
      </w:r>
      <w:r w:rsidR="00E54C6E" w:rsidRPr="00B10626">
        <w:rPr>
          <w:rFonts w:ascii="Tahoma" w:hAnsi="Tahoma" w:cs="Tahoma"/>
          <w:sz w:val="22"/>
        </w:rPr>
        <w:t>și pentru încălcarea prevederilor constituționale</w:t>
      </w:r>
      <w:r w:rsidRPr="00B10626">
        <w:rPr>
          <w:rFonts w:ascii="Tahoma" w:hAnsi="Tahoma" w:cs="Tahoma"/>
          <w:sz w:val="22"/>
        </w:rPr>
        <w:t>.</w:t>
      </w:r>
    </w:p>
    <w:p w14:paraId="21B26EA1" w14:textId="77FD1C64" w:rsidR="002B5A5A" w:rsidRPr="00B10626" w:rsidRDefault="00B11E13" w:rsidP="0008682C">
      <w:pPr>
        <w:spacing w:after="255" w:line="276" w:lineRule="auto"/>
        <w:ind w:left="0" w:firstLine="90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b/>
          <w:bCs/>
          <w:sz w:val="22"/>
        </w:rPr>
        <w:t>ÎN FAPT,</w:t>
      </w:r>
      <w:r w:rsidRPr="00B10626">
        <w:rPr>
          <w:rFonts w:ascii="Tahoma" w:hAnsi="Tahoma" w:cs="Tahoma"/>
          <w:sz w:val="22"/>
        </w:rPr>
        <w:t xml:space="preserve"> </w:t>
      </w:r>
      <w:r w:rsidR="003243C4" w:rsidRPr="00B10626">
        <w:rPr>
          <w:rFonts w:ascii="Tahoma" w:hAnsi="Tahoma" w:cs="Tahoma"/>
          <w:sz w:val="22"/>
        </w:rPr>
        <w:t xml:space="preserve">la data sancționării mă aflam în zona ………………., </w:t>
      </w:r>
      <w:r w:rsidR="00AC2111" w:rsidRPr="00B10626">
        <w:rPr>
          <w:rFonts w:ascii="Tahoma" w:hAnsi="Tahoma" w:cs="Tahoma"/>
          <w:sz w:val="22"/>
        </w:rPr>
        <w:t>pentru …</w:t>
      </w:r>
      <w:r w:rsidR="0008682C" w:rsidRPr="00B10626">
        <w:rPr>
          <w:rFonts w:ascii="Tahoma" w:hAnsi="Tahoma" w:cs="Tahoma"/>
          <w:sz w:val="22"/>
        </w:rPr>
        <w:t xml:space="preserve"> </w:t>
      </w:r>
      <w:r w:rsidR="0078088B" w:rsidRPr="00B10626">
        <w:rPr>
          <w:rFonts w:ascii="Tahoma" w:hAnsi="Tahoma" w:cs="Tahoma"/>
          <w:sz w:val="22"/>
        </w:rPr>
        <w:t>cumpărături</w:t>
      </w:r>
      <w:r w:rsidR="00AC2111" w:rsidRPr="00B10626">
        <w:rPr>
          <w:rFonts w:ascii="Tahoma" w:hAnsi="Tahoma" w:cs="Tahoma"/>
          <w:sz w:val="22"/>
        </w:rPr>
        <w:t xml:space="preserve">……. </w:t>
      </w:r>
      <w:r w:rsidR="0078088B" w:rsidRPr="00B10626">
        <w:rPr>
          <w:rFonts w:ascii="Tahoma" w:hAnsi="Tahoma" w:cs="Tahoma"/>
          <w:sz w:val="22"/>
        </w:rPr>
        <w:t>/interes de serviciu ….</w:t>
      </w:r>
    </w:p>
    <w:p w14:paraId="3E672254" w14:textId="644D50A2" w:rsidR="00567F82" w:rsidRPr="00B10626" w:rsidRDefault="00567F82" w:rsidP="0008682C">
      <w:pPr>
        <w:spacing w:after="0" w:line="276" w:lineRule="auto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="006852E2"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 xml:space="preserve">Sancțiunea a fost aplicată în temeiul disp. </w:t>
      </w:r>
      <w:r w:rsidRPr="00B10626">
        <w:rPr>
          <w:rFonts w:ascii="Tahoma" w:hAnsi="Tahoma" w:cs="Tahoma"/>
          <w:sz w:val="22"/>
          <w:highlight w:val="yellow"/>
        </w:rPr>
        <w:t>art. 65 lit. h) din Legea nr. 55/2020</w:t>
      </w:r>
      <w:r w:rsidRPr="00B10626">
        <w:rPr>
          <w:rFonts w:ascii="Tahoma" w:hAnsi="Tahoma" w:cs="Tahoma"/>
          <w:sz w:val="22"/>
        </w:rPr>
        <w:t>, care prevede că este considerată contravenție: ”</w:t>
      </w:r>
      <w:r w:rsidRPr="00B10626">
        <w:rPr>
          <w:rFonts w:ascii="Tahoma" w:hAnsi="Tahoma" w:cs="Tahoma"/>
          <w:i/>
          <w:iCs/>
          <w:sz w:val="22"/>
          <w:lang w:val="en-US"/>
        </w:rPr>
        <w:t>h)</w:t>
      </w:r>
      <w:r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nerespectarea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de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către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persoanele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fizice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a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măsurilor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individuale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de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protecţie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a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vieţii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şi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pentru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limitarea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efectelor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tipului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de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risc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produs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asupra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sănătăţii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persoanelor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,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stabilite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conform art. 5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alin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>. (2) lit. d)</w:t>
      </w:r>
      <w:proofErr w:type="gramStart"/>
      <w:r w:rsidRPr="00B10626">
        <w:rPr>
          <w:rFonts w:ascii="Tahoma" w:hAnsi="Tahoma" w:cs="Tahoma"/>
          <w:sz w:val="22"/>
        </w:rPr>
        <w:t xml:space="preserve">” </w:t>
      </w:r>
      <w:r w:rsidRPr="00B10626">
        <w:rPr>
          <w:rFonts w:ascii="Tahoma" w:hAnsi="Tahoma" w:cs="Tahoma"/>
          <w:sz w:val="22"/>
          <w:lang w:val="en-US"/>
        </w:rPr>
        <w:t>;</w:t>
      </w:r>
      <w:proofErr w:type="gramEnd"/>
    </w:p>
    <w:p w14:paraId="2FDA342D" w14:textId="02554361" w:rsidR="00554121" w:rsidRPr="00B10626" w:rsidRDefault="00567F82" w:rsidP="0008682C">
      <w:pPr>
        <w:spacing w:after="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  <w:t xml:space="preserve">Art. 5 alin. 2, lit. d) prevede că : </w:t>
      </w:r>
      <w:r w:rsidR="006852E2" w:rsidRPr="00B10626">
        <w:rPr>
          <w:rFonts w:ascii="Tahoma" w:hAnsi="Tahoma" w:cs="Tahoma"/>
          <w:sz w:val="22"/>
        </w:rPr>
        <w:t>„</w:t>
      </w:r>
      <w:r w:rsidR="00554121" w:rsidRPr="00B10626">
        <w:rPr>
          <w:rFonts w:ascii="Tahoma" w:hAnsi="Tahoma" w:cs="Tahoma"/>
          <w:sz w:val="22"/>
        </w:rPr>
        <w:t>(2)</w:t>
      </w:r>
      <w:r w:rsidR="006852E2" w:rsidRPr="00B10626">
        <w:rPr>
          <w:rFonts w:ascii="Tahoma" w:hAnsi="Tahoma" w:cs="Tahoma"/>
          <w:sz w:val="22"/>
        </w:rPr>
        <w:t xml:space="preserve"> </w:t>
      </w:r>
      <w:r w:rsidR="00554121" w:rsidRPr="00B10626">
        <w:rPr>
          <w:rFonts w:ascii="Tahoma" w:hAnsi="Tahoma" w:cs="Tahoma"/>
          <w:i/>
          <w:iCs/>
          <w:sz w:val="22"/>
        </w:rPr>
        <w:t xml:space="preserve">Măsurile pentru asigurarea </w:t>
      </w:r>
      <w:proofErr w:type="spellStart"/>
      <w:r w:rsidR="00554121" w:rsidRPr="00B10626">
        <w:rPr>
          <w:rFonts w:ascii="Tahoma" w:hAnsi="Tahoma" w:cs="Tahoma"/>
          <w:i/>
          <w:iCs/>
          <w:sz w:val="22"/>
        </w:rPr>
        <w:t>rezilienţei</w:t>
      </w:r>
      <w:proofErr w:type="spellEnd"/>
      <w:r w:rsidR="00554121"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="00554121" w:rsidRPr="00B10626">
        <w:rPr>
          <w:rFonts w:ascii="Tahoma" w:hAnsi="Tahoma" w:cs="Tahoma"/>
          <w:i/>
          <w:iCs/>
          <w:sz w:val="22"/>
        </w:rPr>
        <w:t>comunităţilor</w:t>
      </w:r>
      <w:proofErr w:type="spellEnd"/>
      <w:r w:rsidR="00554121" w:rsidRPr="00B10626">
        <w:rPr>
          <w:rFonts w:ascii="Tahoma" w:hAnsi="Tahoma" w:cs="Tahoma"/>
          <w:i/>
          <w:iCs/>
          <w:sz w:val="22"/>
        </w:rPr>
        <w:t xml:space="preserve"> sunt:</w:t>
      </w:r>
      <w:r w:rsidR="00554121" w:rsidRPr="00B10626">
        <w:rPr>
          <w:rFonts w:ascii="Tahoma" w:hAnsi="Tahoma" w:cs="Tahoma"/>
          <w:i/>
          <w:iCs/>
          <w:sz w:val="22"/>
        </w:rPr>
        <w:t xml:space="preserve"> </w:t>
      </w:r>
    </w:p>
    <w:p w14:paraId="78F63570" w14:textId="0DF43C60" w:rsidR="00554121" w:rsidRPr="00B10626" w:rsidRDefault="00554121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554121">
        <w:rPr>
          <w:rFonts w:ascii="Tahoma" w:hAnsi="Tahoma" w:cs="Tahoma"/>
          <w:i/>
          <w:iCs/>
          <w:sz w:val="22"/>
        </w:rPr>
        <w:t xml:space="preserve">d)măsuri de </w:t>
      </w:r>
      <w:proofErr w:type="spellStart"/>
      <w:r w:rsidRPr="00554121">
        <w:rPr>
          <w:rFonts w:ascii="Tahoma" w:hAnsi="Tahoma" w:cs="Tahoma"/>
          <w:i/>
          <w:iCs/>
          <w:sz w:val="22"/>
        </w:rPr>
        <w:t>protecţie</w:t>
      </w:r>
      <w:proofErr w:type="spellEnd"/>
      <w:r w:rsidRPr="00554121">
        <w:rPr>
          <w:rFonts w:ascii="Tahoma" w:hAnsi="Tahoma" w:cs="Tahoma"/>
          <w:i/>
          <w:iCs/>
          <w:sz w:val="22"/>
        </w:rPr>
        <w:t xml:space="preserve"> a </w:t>
      </w:r>
      <w:proofErr w:type="spellStart"/>
      <w:r w:rsidRPr="00554121">
        <w:rPr>
          <w:rFonts w:ascii="Tahoma" w:hAnsi="Tahoma" w:cs="Tahoma"/>
          <w:i/>
          <w:iCs/>
          <w:sz w:val="22"/>
        </w:rPr>
        <w:t>vieţii</w:t>
      </w:r>
      <w:proofErr w:type="spellEnd"/>
      <w:r w:rsidRPr="00554121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Pr="00554121">
        <w:rPr>
          <w:rFonts w:ascii="Tahoma" w:hAnsi="Tahoma" w:cs="Tahoma"/>
          <w:i/>
          <w:iCs/>
          <w:sz w:val="22"/>
        </w:rPr>
        <w:t>şi</w:t>
      </w:r>
      <w:proofErr w:type="spellEnd"/>
      <w:r w:rsidRPr="00554121">
        <w:rPr>
          <w:rFonts w:ascii="Tahoma" w:hAnsi="Tahoma" w:cs="Tahoma"/>
          <w:i/>
          <w:iCs/>
          <w:sz w:val="22"/>
        </w:rPr>
        <w:t xml:space="preserve"> pentru limitarea efectelor tipului de risc produs asupra </w:t>
      </w:r>
      <w:proofErr w:type="spellStart"/>
      <w:r w:rsidRPr="00554121">
        <w:rPr>
          <w:rFonts w:ascii="Tahoma" w:hAnsi="Tahoma" w:cs="Tahoma"/>
          <w:i/>
          <w:iCs/>
          <w:sz w:val="22"/>
        </w:rPr>
        <w:t>sănătăţii</w:t>
      </w:r>
      <w:proofErr w:type="spellEnd"/>
      <w:r w:rsidRPr="00554121">
        <w:rPr>
          <w:rFonts w:ascii="Tahoma" w:hAnsi="Tahoma" w:cs="Tahoma"/>
          <w:i/>
          <w:iCs/>
          <w:sz w:val="22"/>
        </w:rPr>
        <w:t xml:space="preserve"> persoanelor, inclusiv instituirea carantinei sau a izolării la domiciliu</w:t>
      </w:r>
      <w:r w:rsidRPr="00554121">
        <w:rPr>
          <w:rFonts w:ascii="Tahoma" w:hAnsi="Tahoma" w:cs="Tahoma"/>
          <w:sz w:val="22"/>
        </w:rPr>
        <w:t>;</w:t>
      </w:r>
      <w:r w:rsidRPr="00B10626">
        <w:rPr>
          <w:rFonts w:ascii="Tahoma" w:hAnsi="Tahoma" w:cs="Tahoma"/>
          <w:sz w:val="22"/>
        </w:rPr>
        <w:t>”</w:t>
      </w:r>
    </w:p>
    <w:p w14:paraId="6DBCDA55" w14:textId="7D24A531" w:rsidR="00E54C6E" w:rsidRPr="00B10626" w:rsidRDefault="00E54C6E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  <w:t>Viața este imposibilă fără respirație, această axiomă fiind de notorietate, deci nu trebuie dovedită. Limitarea respirației și a dreptului de a respira liber, reprezintă  limitare a dreptului la viață și o ingerință în viața privată a persoanei.</w:t>
      </w:r>
    </w:p>
    <w:p w14:paraId="27EB0BC6" w14:textId="7F2F70C2" w:rsidR="00BC1711" w:rsidRPr="00B10626" w:rsidRDefault="00554121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lastRenderedPageBreak/>
        <w:tab/>
      </w: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b/>
          <w:bCs/>
          <w:sz w:val="22"/>
        </w:rPr>
        <w:t>Niciunul dintre articole</w:t>
      </w:r>
      <w:r w:rsidR="00E54C6E" w:rsidRPr="00B10626">
        <w:rPr>
          <w:rFonts w:ascii="Tahoma" w:hAnsi="Tahoma" w:cs="Tahoma"/>
          <w:b/>
          <w:bCs/>
          <w:sz w:val="22"/>
        </w:rPr>
        <w:t>le invocate în Procesul-verbal de sancționare</w:t>
      </w:r>
      <w:r w:rsidRPr="00B10626">
        <w:rPr>
          <w:rFonts w:ascii="Tahoma" w:hAnsi="Tahoma" w:cs="Tahoma"/>
          <w:b/>
          <w:bCs/>
          <w:sz w:val="22"/>
        </w:rPr>
        <w:t xml:space="preserve"> nu prevede concret limitarea dreptului de a respira liber</w:t>
      </w:r>
      <w:r w:rsidRPr="00B10626">
        <w:rPr>
          <w:rFonts w:ascii="Tahoma" w:hAnsi="Tahoma" w:cs="Tahoma"/>
          <w:sz w:val="22"/>
        </w:rPr>
        <w:t>,</w:t>
      </w:r>
      <w:r w:rsidR="00952C98" w:rsidRPr="00B10626">
        <w:rPr>
          <w:rFonts w:ascii="Tahoma" w:hAnsi="Tahoma" w:cs="Tahoma"/>
          <w:sz w:val="22"/>
        </w:rPr>
        <w:t xml:space="preserve"> deci</w:t>
      </w:r>
      <w:r w:rsidR="00952C98" w:rsidRPr="00B10626">
        <w:rPr>
          <w:rFonts w:ascii="Tahoma" w:hAnsi="Tahoma" w:cs="Tahoma"/>
          <w:i/>
          <w:iCs/>
          <w:sz w:val="22"/>
        </w:rPr>
        <w:t xml:space="preserve"> limitarea dreptului la viață</w:t>
      </w:r>
      <w:r w:rsidR="00952C98" w:rsidRPr="00B10626">
        <w:rPr>
          <w:rFonts w:ascii="Tahoma" w:hAnsi="Tahoma" w:cs="Tahoma"/>
          <w:sz w:val="22"/>
        </w:rPr>
        <w:t xml:space="preserve">, </w:t>
      </w:r>
      <w:r w:rsidRPr="00B10626">
        <w:rPr>
          <w:rFonts w:ascii="Tahoma" w:hAnsi="Tahoma" w:cs="Tahoma"/>
          <w:b/>
          <w:bCs/>
          <w:sz w:val="22"/>
        </w:rPr>
        <w:t>prin purtarea unei măști ”de protecție”</w:t>
      </w:r>
      <w:r w:rsidRPr="00B10626">
        <w:rPr>
          <w:rFonts w:ascii="Tahoma" w:hAnsi="Tahoma" w:cs="Tahoma"/>
          <w:sz w:val="22"/>
        </w:rPr>
        <w:t xml:space="preserve">, care să acopere fața limitând posibilitatea de respirație. </w:t>
      </w:r>
    </w:p>
    <w:p w14:paraId="5A05CDC4" w14:textId="61D2101D" w:rsidR="00BC1711" w:rsidRPr="00B10626" w:rsidRDefault="00BC1711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  <w:u w:val="single"/>
        </w:rPr>
        <w:t>Cu alte cuvinte, fapta imputată nu există</w:t>
      </w:r>
      <w:r w:rsidRPr="00B10626">
        <w:rPr>
          <w:rFonts w:ascii="Tahoma" w:hAnsi="Tahoma" w:cs="Tahoma"/>
          <w:sz w:val="22"/>
        </w:rPr>
        <w:t>.</w:t>
      </w:r>
    </w:p>
    <w:p w14:paraId="3E5C95C1" w14:textId="468D08B8" w:rsidR="00554121" w:rsidRPr="00B10626" w:rsidRDefault="006852E2" w:rsidP="00BC1711">
      <w:pPr>
        <w:spacing w:after="120"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De asemenea, aceste dispoziții legale </w:t>
      </w:r>
      <w:r w:rsidRPr="00B10626">
        <w:rPr>
          <w:rFonts w:ascii="Tahoma" w:hAnsi="Tahoma" w:cs="Tahoma"/>
          <w:b/>
          <w:bCs/>
          <w:sz w:val="22"/>
        </w:rPr>
        <w:t>nu definesc ce este aceea o ”mască” și ”de protecție”</w:t>
      </w:r>
      <w:r w:rsidRPr="00B10626">
        <w:rPr>
          <w:rFonts w:ascii="Tahoma" w:hAnsi="Tahoma" w:cs="Tahoma"/>
          <w:sz w:val="22"/>
        </w:rPr>
        <w:t xml:space="preserve">, lăsând la libera alegere a unui agent constatator să aplice o astfel de sancțiune, după cum apreciază el aceste noțiuni. </w:t>
      </w:r>
      <w:r w:rsidR="00A16B47">
        <w:rPr>
          <w:rFonts w:ascii="Tahoma" w:hAnsi="Tahoma" w:cs="Tahoma"/>
          <w:sz w:val="22"/>
        </w:rPr>
        <w:t xml:space="preserve">În lipsa unei definiții legale, agentul constatator nu poate dovedi ce anume purtam sau nu purtam eu pe față ori dacă masca mea era invizibilă pentru el, având culoarea pielii. </w:t>
      </w:r>
      <w:r w:rsidRPr="00B10626">
        <w:rPr>
          <w:rFonts w:ascii="Tahoma" w:hAnsi="Tahoma" w:cs="Tahoma"/>
          <w:sz w:val="22"/>
        </w:rPr>
        <w:t xml:space="preserve">În plus, în cazul așa-zisului ”port necorespunzător al măștii”, </w:t>
      </w:r>
      <w:r w:rsidR="00952C98" w:rsidRPr="00B10626">
        <w:rPr>
          <w:rFonts w:ascii="Tahoma" w:hAnsi="Tahoma" w:cs="Tahoma"/>
          <w:sz w:val="22"/>
        </w:rPr>
        <w:t xml:space="preserve">lipsa unei prevederi legale clare și neechivoce, previzibile și predictibile ca aplicare și consecințe asupra persoanei, este și mai evident. </w:t>
      </w:r>
    </w:p>
    <w:p w14:paraId="0F326829" w14:textId="01F258B9" w:rsidR="00B11E13" w:rsidRPr="00B10626" w:rsidRDefault="00B11E13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  <w:t>Așa cum legiuitorul a definit în acest articol ”izolarea la domiciliu”, dacă ar fi intenționat să limiteze dreptul de a respira prin portul unei ”măști”</w:t>
      </w:r>
      <w:r w:rsidR="00E54C6E" w:rsidRPr="00B10626">
        <w:rPr>
          <w:rFonts w:ascii="Tahoma" w:hAnsi="Tahoma" w:cs="Tahoma"/>
          <w:sz w:val="22"/>
        </w:rPr>
        <w:t xml:space="preserve">, ar fi trebuit să o facă expres în textul legal. </w:t>
      </w:r>
    </w:p>
    <w:p w14:paraId="49427577" w14:textId="582531B2" w:rsidR="00524C79" w:rsidRPr="00B10626" w:rsidRDefault="00524C79" w:rsidP="00B10626">
      <w:pPr>
        <w:spacing w:after="120"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Prin art. 3 alin. 1 din Anexa la H.G. 782/2020 prevede că : </w:t>
      </w:r>
      <w:r w:rsidRPr="00B10626">
        <w:rPr>
          <w:rFonts w:ascii="Tahoma" w:hAnsi="Tahoma" w:cs="Tahoma"/>
          <w:i/>
          <w:iCs/>
          <w:sz w:val="22"/>
          <w:lang w:val="en-US"/>
        </w:rPr>
        <w:t>(1)</w:t>
      </w:r>
      <w:r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În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aplicarea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prevederilor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 art. 5 </w:t>
      </w:r>
      <w:proofErr w:type="spellStart"/>
      <w:r w:rsidRPr="00B10626">
        <w:rPr>
          <w:rFonts w:ascii="Tahoma" w:hAnsi="Tahoma" w:cs="Tahoma"/>
          <w:i/>
          <w:iCs/>
          <w:sz w:val="22"/>
          <w:lang w:val="en-US"/>
        </w:rPr>
        <w:t>alin</w:t>
      </w:r>
      <w:proofErr w:type="spellEnd"/>
      <w:r w:rsidRPr="00B10626">
        <w:rPr>
          <w:rFonts w:ascii="Tahoma" w:hAnsi="Tahoma" w:cs="Tahoma"/>
          <w:i/>
          <w:iCs/>
          <w:sz w:val="22"/>
          <w:lang w:val="en-US"/>
        </w:rPr>
        <w:t xml:space="preserve">. (2) lit. d) din </w:t>
      </w:r>
      <w:r w:rsidRPr="00B10626">
        <w:rPr>
          <w:rFonts w:ascii="Tahoma" w:hAnsi="Tahoma" w:cs="Tahoma"/>
          <w:i/>
          <w:iCs/>
          <w:sz w:val="22"/>
        </w:rPr>
        <w:t xml:space="preserve">Legea nr. </w:t>
      </w:r>
      <w:hyperlink r:id="rId8" w:anchor="/dokument/16986667?cm=DOCUMENT" w:tgtFrame="_blank" w:history="1">
        <w:r w:rsidRPr="00B10626">
          <w:rPr>
            <w:rStyle w:val="Hyperlink"/>
            <w:rFonts w:ascii="Tahoma" w:hAnsi="Tahoma" w:cs="Tahoma"/>
            <w:i/>
            <w:iCs/>
            <w:sz w:val="22"/>
          </w:rPr>
          <w:t>55/2020</w:t>
        </w:r>
      </w:hyperlink>
      <w:r w:rsidRPr="00B10626">
        <w:rPr>
          <w:rFonts w:ascii="Tahoma" w:hAnsi="Tahoma" w:cs="Tahoma"/>
          <w:i/>
          <w:iCs/>
          <w:sz w:val="22"/>
        </w:rPr>
        <w:t xml:space="preserve">, cu modificările ulterioare, purtarea </w:t>
      </w:r>
      <w:proofErr w:type="spellStart"/>
      <w:r w:rsidRPr="00B10626">
        <w:rPr>
          <w:rFonts w:ascii="Tahoma" w:hAnsi="Tahoma" w:cs="Tahoma"/>
          <w:i/>
          <w:iCs/>
          <w:sz w:val="22"/>
        </w:rPr>
        <w:t>măştii</w:t>
      </w:r>
      <w:proofErr w:type="spellEnd"/>
      <w:r w:rsidRPr="00B10626">
        <w:rPr>
          <w:rFonts w:ascii="Tahoma" w:hAnsi="Tahoma" w:cs="Tahoma"/>
          <w:i/>
          <w:iCs/>
          <w:sz w:val="22"/>
        </w:rPr>
        <w:t xml:space="preserve"> de </w:t>
      </w:r>
      <w:proofErr w:type="spellStart"/>
      <w:r w:rsidRPr="00B10626">
        <w:rPr>
          <w:rFonts w:ascii="Tahoma" w:hAnsi="Tahoma" w:cs="Tahoma"/>
          <w:i/>
          <w:iCs/>
          <w:sz w:val="22"/>
        </w:rPr>
        <w:t>protecţie</w:t>
      </w:r>
      <w:proofErr w:type="spellEnd"/>
      <w:r w:rsidRPr="00B10626">
        <w:rPr>
          <w:rFonts w:ascii="Tahoma" w:hAnsi="Tahoma" w:cs="Tahoma"/>
          <w:i/>
          <w:iCs/>
          <w:sz w:val="22"/>
        </w:rPr>
        <w:t xml:space="preserve">, </w:t>
      </w:r>
      <w:r w:rsidRPr="00B10626">
        <w:rPr>
          <w:rFonts w:ascii="Tahoma" w:hAnsi="Tahoma" w:cs="Tahoma"/>
          <w:i/>
          <w:iCs/>
          <w:sz w:val="22"/>
          <w:u w:val="single"/>
        </w:rPr>
        <w:t xml:space="preserve">astfel încât să acopere nasul </w:t>
      </w:r>
      <w:proofErr w:type="spellStart"/>
      <w:r w:rsidRPr="00B10626">
        <w:rPr>
          <w:rFonts w:ascii="Tahoma" w:hAnsi="Tahoma" w:cs="Tahoma"/>
          <w:i/>
          <w:iCs/>
          <w:sz w:val="22"/>
          <w:u w:val="single"/>
        </w:rPr>
        <w:t>şi</w:t>
      </w:r>
      <w:proofErr w:type="spellEnd"/>
      <w:r w:rsidRPr="00B10626">
        <w:rPr>
          <w:rFonts w:ascii="Tahoma" w:hAnsi="Tahoma" w:cs="Tahoma"/>
          <w:i/>
          <w:iCs/>
          <w:sz w:val="22"/>
          <w:u w:val="single"/>
        </w:rPr>
        <w:t xml:space="preserve"> gura</w:t>
      </w:r>
      <w:r w:rsidRPr="00B10626">
        <w:rPr>
          <w:rFonts w:ascii="Tahoma" w:hAnsi="Tahoma" w:cs="Tahoma"/>
          <w:i/>
          <w:iCs/>
          <w:sz w:val="22"/>
        </w:rPr>
        <w:t>, este obligatorie pentru toate persoanele care au împlinit vârsta de 5 ani</w:t>
      </w:r>
      <w:r w:rsidRPr="00B10626">
        <w:rPr>
          <w:rFonts w:ascii="Tahoma" w:hAnsi="Tahoma" w:cs="Tahoma"/>
          <w:i/>
          <w:iCs/>
          <w:sz w:val="22"/>
        </w:rPr>
        <w:t xml:space="preserve"> (…).”</w:t>
      </w:r>
      <w:r w:rsidRPr="00B10626">
        <w:rPr>
          <w:rFonts w:ascii="Tahoma" w:hAnsi="Tahoma" w:cs="Tahoma"/>
          <w:sz w:val="22"/>
        </w:rPr>
        <w:t xml:space="preserve"> </w:t>
      </w:r>
    </w:p>
    <w:p w14:paraId="25F06989" w14:textId="5C250E92" w:rsidR="00524C79" w:rsidRPr="00B10626" w:rsidRDefault="00524C79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  <w:t>În acest text se prevede expres acoperirea nasului și gurii, dar nu și libertatea, măcar parțială, de a mai respira ! Cu alte cuvinte, fie stați în propria casă, fie nu mai respirați dacă ieșiți afară !</w:t>
      </w:r>
    </w:p>
    <w:p w14:paraId="2ECBF0BB" w14:textId="18AF9BC0" w:rsidR="00D66F9E" w:rsidRPr="00B10626" w:rsidRDefault="00554121" w:rsidP="0008682C">
      <w:pPr>
        <w:spacing w:after="120" w:line="276" w:lineRule="auto"/>
        <w:ind w:left="0"/>
        <w:rPr>
          <w:rFonts w:ascii="Tahoma" w:hAnsi="Tahoma" w:cs="Tahoma"/>
          <w:b/>
          <w:bCs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  <w:t xml:space="preserve">Potrivit disp. </w:t>
      </w:r>
      <w:r w:rsidRPr="00B10626">
        <w:rPr>
          <w:rFonts w:ascii="Tahoma" w:hAnsi="Tahoma" w:cs="Tahoma"/>
          <w:b/>
          <w:bCs/>
          <w:sz w:val="22"/>
        </w:rPr>
        <w:t xml:space="preserve">art. </w:t>
      </w:r>
      <w:r w:rsidR="00952C98" w:rsidRPr="00B10626">
        <w:rPr>
          <w:rFonts w:ascii="Tahoma" w:hAnsi="Tahoma" w:cs="Tahoma"/>
          <w:b/>
          <w:bCs/>
          <w:sz w:val="22"/>
        </w:rPr>
        <w:t>23</w:t>
      </w:r>
      <w:r w:rsidRPr="00B10626">
        <w:rPr>
          <w:rFonts w:ascii="Tahoma" w:hAnsi="Tahoma" w:cs="Tahoma"/>
          <w:b/>
          <w:bCs/>
          <w:sz w:val="22"/>
        </w:rPr>
        <w:t xml:space="preserve"> </w:t>
      </w:r>
      <w:r w:rsidRPr="00B10626">
        <w:rPr>
          <w:rFonts w:ascii="Tahoma" w:hAnsi="Tahoma" w:cs="Tahoma"/>
          <w:sz w:val="22"/>
        </w:rPr>
        <w:t>din Constituția României,</w:t>
      </w:r>
      <w:r w:rsidR="00952C98" w:rsidRPr="00B10626">
        <w:rPr>
          <w:rFonts w:ascii="Tahoma" w:hAnsi="Tahoma" w:cs="Tahoma"/>
          <w:sz w:val="22"/>
        </w:rPr>
        <w:t xml:space="preserve"> </w:t>
      </w:r>
      <w:r w:rsidR="00BB7E1C" w:rsidRPr="00B10626">
        <w:rPr>
          <w:rFonts w:ascii="Tahoma" w:hAnsi="Tahoma" w:cs="Tahoma"/>
          <w:sz w:val="22"/>
        </w:rPr>
        <w:t>„</w:t>
      </w:r>
      <w:r w:rsidR="00952C98" w:rsidRPr="00B10626">
        <w:rPr>
          <w:rFonts w:ascii="Tahoma" w:hAnsi="Tahoma" w:cs="Tahoma"/>
          <w:i/>
          <w:iCs/>
          <w:sz w:val="22"/>
        </w:rPr>
        <w:t>(1)</w:t>
      </w:r>
      <w:r w:rsidR="00D66F9E" w:rsidRPr="00B10626">
        <w:rPr>
          <w:rFonts w:ascii="Tahoma" w:hAnsi="Tahoma" w:cs="Tahoma"/>
          <w:i/>
          <w:iCs/>
          <w:sz w:val="22"/>
        </w:rPr>
        <w:t xml:space="preserve"> </w:t>
      </w:r>
      <w:r w:rsidR="00952C98" w:rsidRPr="00B10626">
        <w:rPr>
          <w:rFonts w:ascii="Tahoma" w:hAnsi="Tahoma" w:cs="Tahoma"/>
          <w:i/>
          <w:iCs/>
          <w:sz w:val="22"/>
        </w:rPr>
        <w:t xml:space="preserve">Libertatea individuală </w:t>
      </w:r>
      <w:proofErr w:type="spellStart"/>
      <w:r w:rsidR="00952C98" w:rsidRPr="00B10626">
        <w:rPr>
          <w:rFonts w:ascii="Tahoma" w:hAnsi="Tahoma" w:cs="Tahoma"/>
          <w:i/>
          <w:iCs/>
          <w:sz w:val="22"/>
        </w:rPr>
        <w:t>şi</w:t>
      </w:r>
      <w:proofErr w:type="spellEnd"/>
      <w:r w:rsidR="00952C98"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="00952C98" w:rsidRPr="00B10626">
        <w:rPr>
          <w:rFonts w:ascii="Tahoma" w:hAnsi="Tahoma" w:cs="Tahoma"/>
          <w:i/>
          <w:iCs/>
          <w:sz w:val="22"/>
        </w:rPr>
        <w:t>siguranţa</w:t>
      </w:r>
      <w:proofErr w:type="spellEnd"/>
      <w:r w:rsidR="00952C98" w:rsidRPr="00B10626">
        <w:rPr>
          <w:rFonts w:ascii="Tahoma" w:hAnsi="Tahoma" w:cs="Tahoma"/>
          <w:i/>
          <w:iCs/>
          <w:sz w:val="22"/>
        </w:rPr>
        <w:t xml:space="preserve"> persoanei sunt inviolabile</w:t>
      </w:r>
      <w:r w:rsidR="00952C98" w:rsidRPr="00B10626">
        <w:rPr>
          <w:rFonts w:ascii="Tahoma" w:hAnsi="Tahoma" w:cs="Tahoma"/>
          <w:sz w:val="22"/>
        </w:rPr>
        <w:t>.</w:t>
      </w:r>
      <w:r w:rsidR="00BB7E1C" w:rsidRPr="00B10626">
        <w:rPr>
          <w:rFonts w:ascii="Tahoma" w:hAnsi="Tahoma" w:cs="Tahoma"/>
          <w:sz w:val="22"/>
        </w:rPr>
        <w:t>”</w:t>
      </w:r>
      <w:r w:rsidR="00952C98" w:rsidRPr="00B10626">
        <w:rPr>
          <w:rFonts w:ascii="Tahoma" w:hAnsi="Tahoma" w:cs="Tahoma"/>
          <w:sz w:val="22"/>
        </w:rPr>
        <w:t>, iar potrivit alin. 12 : „</w:t>
      </w:r>
      <w:r w:rsidR="00952C98" w:rsidRPr="00B10626">
        <w:rPr>
          <w:rFonts w:ascii="Tahoma" w:hAnsi="Tahoma" w:cs="Tahoma"/>
          <w:i/>
          <w:iCs/>
          <w:sz w:val="22"/>
        </w:rPr>
        <w:t>(12)</w:t>
      </w:r>
      <w:r w:rsidR="00BB7E1C" w:rsidRPr="00B10626">
        <w:rPr>
          <w:rFonts w:ascii="Tahoma" w:hAnsi="Tahoma" w:cs="Tahoma"/>
          <w:i/>
          <w:iCs/>
          <w:sz w:val="22"/>
        </w:rPr>
        <w:t xml:space="preserve"> </w:t>
      </w:r>
      <w:r w:rsidR="00952C98" w:rsidRPr="00B10626">
        <w:rPr>
          <w:rFonts w:ascii="Tahoma" w:hAnsi="Tahoma" w:cs="Tahoma"/>
          <w:i/>
          <w:iCs/>
          <w:sz w:val="22"/>
          <w:u w:val="single"/>
        </w:rPr>
        <w:t>Nici o pedeapsă</w:t>
      </w:r>
      <w:r w:rsidR="00952C98" w:rsidRPr="00B10626">
        <w:rPr>
          <w:rFonts w:ascii="Tahoma" w:hAnsi="Tahoma" w:cs="Tahoma"/>
          <w:i/>
          <w:iCs/>
          <w:sz w:val="22"/>
        </w:rPr>
        <w:t xml:space="preserve"> nu poate fi stabilită sau aplicată decât în </w:t>
      </w:r>
      <w:proofErr w:type="spellStart"/>
      <w:r w:rsidR="00952C98" w:rsidRPr="00B10626">
        <w:rPr>
          <w:rFonts w:ascii="Tahoma" w:hAnsi="Tahoma" w:cs="Tahoma"/>
          <w:i/>
          <w:iCs/>
          <w:sz w:val="22"/>
        </w:rPr>
        <w:t>condiţiile</w:t>
      </w:r>
      <w:proofErr w:type="spellEnd"/>
      <w:r w:rsidR="00952C98"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="00952C98" w:rsidRPr="00B10626">
        <w:rPr>
          <w:rFonts w:ascii="Tahoma" w:hAnsi="Tahoma" w:cs="Tahoma"/>
          <w:i/>
          <w:iCs/>
          <w:sz w:val="22"/>
        </w:rPr>
        <w:t>şi</w:t>
      </w:r>
      <w:proofErr w:type="spellEnd"/>
      <w:r w:rsidR="00952C98" w:rsidRPr="00B10626">
        <w:rPr>
          <w:rFonts w:ascii="Tahoma" w:hAnsi="Tahoma" w:cs="Tahoma"/>
          <w:i/>
          <w:iCs/>
          <w:sz w:val="22"/>
        </w:rPr>
        <w:t xml:space="preserve"> în temeiul legii.</w:t>
      </w:r>
      <w:r w:rsidR="00BB7E1C" w:rsidRPr="00B10626">
        <w:rPr>
          <w:rFonts w:ascii="Tahoma" w:hAnsi="Tahoma" w:cs="Tahoma"/>
          <w:sz w:val="22"/>
        </w:rPr>
        <w:t>”</w:t>
      </w:r>
      <w:r w:rsidR="00952C98" w:rsidRPr="00B10626">
        <w:rPr>
          <w:rFonts w:ascii="Tahoma" w:hAnsi="Tahoma" w:cs="Tahoma"/>
          <w:sz w:val="22"/>
        </w:rPr>
        <w:t xml:space="preserve"> </w:t>
      </w:r>
      <w:r w:rsidR="00BB7E1C" w:rsidRPr="00B10626">
        <w:rPr>
          <w:rFonts w:ascii="Tahoma" w:hAnsi="Tahoma" w:cs="Tahoma"/>
          <w:sz w:val="22"/>
        </w:rPr>
        <w:t>Contravenția nu este altceva decât o pedeapsă, care din punct de vedere al naturii juridice s-a stabilit f</w:t>
      </w:r>
      <w:r w:rsidR="00D66F9E" w:rsidRPr="00B10626">
        <w:rPr>
          <w:rFonts w:ascii="Tahoma" w:hAnsi="Tahoma" w:cs="Tahoma"/>
          <w:sz w:val="22"/>
        </w:rPr>
        <w:t>ă</w:t>
      </w:r>
      <w:r w:rsidR="00BB7E1C" w:rsidRPr="00B10626">
        <w:rPr>
          <w:rFonts w:ascii="Tahoma" w:hAnsi="Tahoma" w:cs="Tahoma"/>
          <w:sz w:val="22"/>
        </w:rPr>
        <w:t>ră echivoc că</w:t>
      </w:r>
      <w:r w:rsidR="00D66F9E" w:rsidRPr="00B10626">
        <w:rPr>
          <w:rFonts w:ascii="Tahoma" w:hAnsi="Tahoma" w:cs="Tahoma"/>
          <w:sz w:val="22"/>
        </w:rPr>
        <w:t xml:space="preserve"> are o natură penală. </w:t>
      </w:r>
      <w:r w:rsidR="00BB7E1C" w:rsidRPr="00B10626">
        <w:rPr>
          <w:rFonts w:ascii="Tahoma" w:hAnsi="Tahoma" w:cs="Tahoma"/>
          <w:sz w:val="22"/>
        </w:rPr>
        <w:t xml:space="preserve"> </w:t>
      </w:r>
      <w:r w:rsidR="00BB7E1C" w:rsidRPr="00B10626">
        <w:rPr>
          <w:rFonts w:ascii="Tahoma" w:hAnsi="Tahoma" w:cs="Tahoma"/>
          <w:b/>
          <w:bCs/>
          <w:sz w:val="22"/>
        </w:rPr>
        <w:t>În consecință</w:t>
      </w:r>
      <w:r w:rsidR="00D66F9E" w:rsidRPr="00B10626">
        <w:rPr>
          <w:rFonts w:ascii="Tahoma" w:hAnsi="Tahoma" w:cs="Tahoma"/>
          <w:b/>
          <w:bCs/>
          <w:sz w:val="22"/>
        </w:rPr>
        <w:t>:</w:t>
      </w:r>
    </w:p>
    <w:p w14:paraId="7A90F986" w14:textId="7092450D" w:rsidR="00554121" w:rsidRPr="00B10626" w:rsidRDefault="00D66F9E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-  pe de o parte, </w:t>
      </w:r>
      <w:r w:rsidR="00554121" w:rsidRPr="00B10626">
        <w:rPr>
          <w:rFonts w:ascii="Tahoma" w:hAnsi="Tahoma" w:cs="Tahoma"/>
          <w:sz w:val="22"/>
          <w:u w:val="single"/>
        </w:rPr>
        <w:t>limitarea drepturilor fundamentale</w:t>
      </w:r>
      <w:r w:rsidR="00554121" w:rsidRPr="00B10626">
        <w:rPr>
          <w:rFonts w:ascii="Tahoma" w:hAnsi="Tahoma" w:cs="Tahoma"/>
          <w:sz w:val="22"/>
        </w:rPr>
        <w:t xml:space="preserve"> – între care și cel la viață</w:t>
      </w:r>
      <w:r w:rsidR="00673DD7" w:rsidRPr="00B10626">
        <w:rPr>
          <w:rFonts w:ascii="Tahoma" w:hAnsi="Tahoma" w:cs="Tahoma"/>
          <w:sz w:val="22"/>
        </w:rPr>
        <w:t>,</w:t>
      </w:r>
      <w:r w:rsidR="00554121" w:rsidRPr="00B10626">
        <w:rPr>
          <w:rFonts w:ascii="Tahoma" w:hAnsi="Tahoma" w:cs="Tahoma"/>
          <w:sz w:val="22"/>
        </w:rPr>
        <w:t xml:space="preserve"> </w:t>
      </w:r>
      <w:r w:rsidR="00BB7E1C" w:rsidRPr="00B10626">
        <w:rPr>
          <w:rFonts w:ascii="Tahoma" w:hAnsi="Tahoma" w:cs="Tahoma"/>
          <w:sz w:val="22"/>
        </w:rPr>
        <w:t xml:space="preserve">prin libera respirație a aerului, aer care nu este proprietatea statului sau a altei persoane </w:t>
      </w:r>
      <w:r w:rsidR="00554121" w:rsidRPr="00B10626">
        <w:rPr>
          <w:rFonts w:ascii="Tahoma" w:hAnsi="Tahoma" w:cs="Tahoma"/>
          <w:sz w:val="22"/>
        </w:rPr>
        <w:t xml:space="preserve">– </w:t>
      </w:r>
      <w:r w:rsidR="00181977" w:rsidRPr="00B10626">
        <w:rPr>
          <w:rFonts w:ascii="Tahoma" w:hAnsi="Tahoma" w:cs="Tahoma"/>
          <w:sz w:val="22"/>
          <w:u w:val="single"/>
        </w:rPr>
        <w:t>nu poate fi făcută decât prin lege</w:t>
      </w:r>
      <w:r w:rsidR="00181977" w:rsidRPr="00B10626">
        <w:rPr>
          <w:rFonts w:ascii="Tahoma" w:hAnsi="Tahoma" w:cs="Tahoma"/>
          <w:sz w:val="22"/>
        </w:rPr>
        <w:t xml:space="preserve">, iar nu prin alt act normativ, cu forță juridică inferioară. </w:t>
      </w:r>
      <w:r w:rsidR="00BB7E1C" w:rsidRPr="00B10626">
        <w:rPr>
          <w:rFonts w:ascii="Tahoma" w:hAnsi="Tahoma" w:cs="Tahoma"/>
          <w:sz w:val="22"/>
        </w:rPr>
        <w:t>În plus, legea de limitare a drepturilor și libertăților individuale trebuie să întrunească cerințele de tehnică legislativă subliniate în mai multe r</w:t>
      </w:r>
      <w:r w:rsidRPr="00B10626">
        <w:rPr>
          <w:rFonts w:ascii="Tahoma" w:hAnsi="Tahoma" w:cs="Tahoma"/>
          <w:sz w:val="22"/>
        </w:rPr>
        <w:t>â</w:t>
      </w:r>
      <w:r w:rsidR="00BB7E1C" w:rsidRPr="00B10626">
        <w:rPr>
          <w:rFonts w:ascii="Tahoma" w:hAnsi="Tahoma" w:cs="Tahoma"/>
          <w:sz w:val="22"/>
        </w:rPr>
        <w:t>nduri de Curtea Constituțională, ultimul exemplu concludent fiind în decizia prin care au fost declarate neconstituționale prevederi din Legea în temeiul căreia am fost și eu sancționat (pedepsit)</w:t>
      </w:r>
      <w:r w:rsidR="00673DD7" w:rsidRPr="00B10626">
        <w:rPr>
          <w:rStyle w:val="Referinnotdesubsol"/>
          <w:rFonts w:ascii="Tahoma" w:hAnsi="Tahoma" w:cs="Tahoma"/>
          <w:sz w:val="22"/>
        </w:rPr>
        <w:footnoteReference w:id="1"/>
      </w:r>
      <w:r w:rsidR="00673DD7" w:rsidRPr="00B10626">
        <w:rPr>
          <w:rFonts w:ascii="Tahoma" w:hAnsi="Tahoma" w:cs="Tahoma"/>
          <w:sz w:val="22"/>
        </w:rPr>
        <w:t>;</w:t>
      </w:r>
    </w:p>
    <w:p w14:paraId="321A6E04" w14:textId="381A91EC" w:rsidR="00D66F9E" w:rsidRPr="00B10626" w:rsidRDefault="00D66F9E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lastRenderedPageBreak/>
        <w:t>-  pe de altă parte, implicând o pedeapsă de natură penală, contravenția presupune respectarea prezumției de nevinovăție și răsturnarea sarcinii probei în seama agentului constatator.</w:t>
      </w:r>
    </w:p>
    <w:p w14:paraId="1ABB5E04" w14:textId="3858C993" w:rsidR="00181977" w:rsidRPr="00554121" w:rsidRDefault="00673DD7" w:rsidP="0008682C">
      <w:pPr>
        <w:spacing w:after="12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ab/>
      </w:r>
      <w:r w:rsidRPr="00B10626">
        <w:rPr>
          <w:rFonts w:ascii="Tahoma" w:hAnsi="Tahoma" w:cs="Tahoma"/>
          <w:sz w:val="22"/>
        </w:rPr>
        <w:tab/>
        <w:t xml:space="preserve">Prin sancționarea mea conform procesului-verbal atacat, este încălcat și acest principiu ocrotit în dreptul european, potrivit mai multor hotărâri ale CEDO. </w:t>
      </w:r>
    </w:p>
    <w:p w14:paraId="1D510058" w14:textId="50729BF1" w:rsidR="002B5A5A" w:rsidRPr="00B10626" w:rsidRDefault="004F54FB" w:rsidP="004F54FB">
      <w:pPr>
        <w:spacing w:after="120"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Spre exemplu, </w:t>
      </w:r>
      <w:r w:rsidR="002B5A5A" w:rsidRPr="00B10626">
        <w:rPr>
          <w:rFonts w:ascii="Tahoma" w:hAnsi="Tahoma" w:cs="Tahoma"/>
          <w:sz w:val="22"/>
        </w:rPr>
        <w:t xml:space="preserve">Curtea E.D.O. a stabilit, în cauza </w:t>
      </w:r>
      <w:proofErr w:type="spellStart"/>
      <w:r w:rsidR="002B5A5A" w:rsidRPr="00B10626">
        <w:rPr>
          <w:rFonts w:ascii="Tahoma" w:hAnsi="Tahoma" w:cs="Tahoma"/>
          <w:sz w:val="22"/>
        </w:rPr>
        <w:t>Telfner</w:t>
      </w:r>
      <w:proofErr w:type="spellEnd"/>
      <w:r w:rsidR="002B5A5A" w:rsidRPr="00B10626">
        <w:rPr>
          <w:rFonts w:ascii="Tahoma" w:hAnsi="Tahoma" w:cs="Tahoma"/>
          <w:sz w:val="22"/>
        </w:rPr>
        <w:t xml:space="preserve"> c. Austriei, 20 martie 2001, că o condamnare a inculpatului în lipsa unor dovezi convingătoare de </w:t>
      </w:r>
      <w:proofErr w:type="spellStart"/>
      <w:r w:rsidR="002B5A5A" w:rsidRPr="00B10626">
        <w:rPr>
          <w:rFonts w:ascii="Tahoma" w:hAnsi="Tahoma" w:cs="Tahoma"/>
          <w:sz w:val="22"/>
        </w:rPr>
        <w:t>vinovăţie</w:t>
      </w:r>
      <w:proofErr w:type="spellEnd"/>
      <w:r w:rsidR="002B5A5A" w:rsidRPr="00B10626">
        <w:rPr>
          <w:rFonts w:ascii="Tahoma" w:hAnsi="Tahoma" w:cs="Tahoma"/>
          <w:sz w:val="22"/>
        </w:rPr>
        <w:t xml:space="preserve">, probe directe care să </w:t>
      </w:r>
      <w:proofErr w:type="spellStart"/>
      <w:r w:rsidR="002B5A5A" w:rsidRPr="00B10626">
        <w:rPr>
          <w:rFonts w:ascii="Tahoma" w:hAnsi="Tahoma" w:cs="Tahoma"/>
          <w:sz w:val="22"/>
        </w:rPr>
        <w:t>susţină</w:t>
      </w:r>
      <w:proofErr w:type="spellEnd"/>
      <w:r w:rsidR="002B5A5A" w:rsidRPr="00B10626">
        <w:rPr>
          <w:rFonts w:ascii="Tahoma" w:hAnsi="Tahoma" w:cs="Tahoma"/>
          <w:sz w:val="22"/>
        </w:rPr>
        <w:t xml:space="preserve"> temeinicia în fapt </w:t>
      </w:r>
      <w:proofErr w:type="spellStart"/>
      <w:r w:rsidR="002B5A5A" w:rsidRPr="00B10626">
        <w:rPr>
          <w:rFonts w:ascii="Tahoma" w:hAnsi="Tahoma" w:cs="Tahoma"/>
          <w:sz w:val="22"/>
        </w:rPr>
        <w:t>şi</w:t>
      </w:r>
      <w:proofErr w:type="spellEnd"/>
      <w:r w:rsidR="002B5A5A" w:rsidRPr="00B10626">
        <w:rPr>
          <w:rFonts w:ascii="Tahoma" w:hAnsi="Tahoma" w:cs="Tahoma"/>
          <w:sz w:val="22"/>
        </w:rPr>
        <w:t xml:space="preserve"> în drept a </w:t>
      </w:r>
      <w:proofErr w:type="spellStart"/>
      <w:r w:rsidR="002B5A5A" w:rsidRPr="00B10626">
        <w:rPr>
          <w:rFonts w:ascii="Tahoma" w:hAnsi="Tahoma" w:cs="Tahoma"/>
          <w:sz w:val="22"/>
        </w:rPr>
        <w:t>acuzaţiei</w:t>
      </w:r>
      <w:proofErr w:type="spellEnd"/>
      <w:r w:rsidR="002B5A5A" w:rsidRPr="00B10626">
        <w:rPr>
          <w:rFonts w:ascii="Tahoma" w:hAnsi="Tahoma" w:cs="Tahoma"/>
          <w:sz w:val="22"/>
        </w:rPr>
        <w:t xml:space="preserve">, este de natură să atragă constatarea încălcării articolului 6 par. 2 din </w:t>
      </w:r>
      <w:proofErr w:type="spellStart"/>
      <w:r w:rsidR="002B5A5A" w:rsidRPr="00B10626">
        <w:rPr>
          <w:rFonts w:ascii="Tahoma" w:hAnsi="Tahoma" w:cs="Tahoma"/>
          <w:sz w:val="22"/>
        </w:rPr>
        <w:t>Convenţie</w:t>
      </w:r>
      <w:proofErr w:type="spellEnd"/>
      <w:r w:rsidR="002B5A5A" w:rsidRPr="00B10626">
        <w:rPr>
          <w:rFonts w:ascii="Tahoma" w:hAnsi="Tahoma" w:cs="Tahoma"/>
          <w:sz w:val="22"/>
        </w:rPr>
        <w:t xml:space="preserve">. </w:t>
      </w:r>
      <w:r w:rsidR="00FC421C" w:rsidRPr="00B10626">
        <w:rPr>
          <w:rFonts w:ascii="Tahoma" w:hAnsi="Tahoma" w:cs="Tahoma"/>
          <w:i/>
          <w:iCs/>
          <w:sz w:val="22"/>
        </w:rPr>
        <w:t>N</w:t>
      </w:r>
      <w:r w:rsidR="00FC421C" w:rsidRPr="00B10626">
        <w:rPr>
          <w:rFonts w:ascii="Tahoma" w:hAnsi="Tahoma" w:cs="Tahoma"/>
          <w:i/>
          <w:iCs/>
          <w:sz w:val="22"/>
        </w:rPr>
        <w:t xml:space="preserve">atura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şi</w:t>
      </w:r>
      <w:proofErr w:type="spellEnd"/>
      <w:r w:rsidR="00FC421C" w:rsidRPr="00B10626">
        <w:rPr>
          <w:rFonts w:ascii="Tahoma" w:hAnsi="Tahoma" w:cs="Tahoma"/>
          <w:i/>
          <w:iCs/>
          <w:sz w:val="22"/>
        </w:rPr>
        <w:t xml:space="preserve"> gravitatea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sancţiunii</w:t>
      </w:r>
      <w:proofErr w:type="spellEnd"/>
      <w:r w:rsidR="00FC421C" w:rsidRPr="00B10626">
        <w:rPr>
          <w:rFonts w:ascii="Tahoma" w:hAnsi="Tahoma" w:cs="Tahoma"/>
          <w:i/>
          <w:iCs/>
          <w:sz w:val="22"/>
        </w:rPr>
        <w:t xml:space="preserve"> aplicate precum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şi</w:t>
      </w:r>
      <w:proofErr w:type="spellEnd"/>
      <w:r w:rsidR="00FC421C" w:rsidRPr="00B10626">
        <w:rPr>
          <w:rFonts w:ascii="Tahoma" w:hAnsi="Tahoma" w:cs="Tahoma"/>
          <w:i/>
          <w:iCs/>
          <w:sz w:val="22"/>
        </w:rPr>
        <w:t xml:space="preserve">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sancţiunea</w:t>
      </w:r>
      <w:proofErr w:type="spellEnd"/>
      <w:r w:rsidR="00FC421C" w:rsidRPr="00B10626">
        <w:rPr>
          <w:rFonts w:ascii="Tahoma" w:hAnsi="Tahoma" w:cs="Tahoma"/>
          <w:i/>
          <w:iCs/>
          <w:sz w:val="22"/>
        </w:rPr>
        <w:t xml:space="preserve"> ce ar fi putut fi aplicată trebuie analizate prin raportare la obiectul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şi</w:t>
      </w:r>
      <w:proofErr w:type="spellEnd"/>
      <w:r w:rsidR="00FC421C" w:rsidRPr="00B10626">
        <w:rPr>
          <w:rFonts w:ascii="Tahoma" w:hAnsi="Tahoma" w:cs="Tahoma"/>
          <w:i/>
          <w:iCs/>
          <w:sz w:val="22"/>
        </w:rPr>
        <w:t xml:space="preserve"> scopul art. 6 din </w:t>
      </w:r>
      <w:proofErr w:type="spellStart"/>
      <w:r w:rsidR="00FC421C" w:rsidRPr="00B10626">
        <w:rPr>
          <w:rFonts w:ascii="Tahoma" w:hAnsi="Tahoma" w:cs="Tahoma"/>
          <w:i/>
          <w:iCs/>
          <w:sz w:val="22"/>
        </w:rPr>
        <w:t>Convenţie</w:t>
      </w:r>
      <w:proofErr w:type="spellEnd"/>
      <w:r w:rsidR="00FC421C" w:rsidRPr="00B10626">
        <w:rPr>
          <w:rFonts w:ascii="Tahoma" w:hAnsi="Tahoma" w:cs="Tahoma"/>
          <w:sz w:val="22"/>
        </w:rPr>
        <w:t xml:space="preserve"> (Hotărârea </w:t>
      </w:r>
      <w:proofErr w:type="spellStart"/>
      <w:r w:rsidR="00FC421C" w:rsidRPr="00B10626">
        <w:rPr>
          <w:rFonts w:ascii="Tahoma" w:hAnsi="Tahoma" w:cs="Tahoma"/>
          <w:sz w:val="22"/>
        </w:rPr>
        <w:t>pronunţată</w:t>
      </w:r>
      <w:proofErr w:type="spellEnd"/>
      <w:r w:rsidR="00FC421C" w:rsidRPr="00B10626">
        <w:rPr>
          <w:rFonts w:ascii="Tahoma" w:hAnsi="Tahoma" w:cs="Tahoma"/>
          <w:sz w:val="22"/>
        </w:rPr>
        <w:t xml:space="preserve"> în cauza </w:t>
      </w:r>
      <w:proofErr w:type="spellStart"/>
      <w:r w:rsidR="00FC421C" w:rsidRPr="00B10626">
        <w:rPr>
          <w:rFonts w:ascii="Tahoma" w:hAnsi="Tahoma" w:cs="Tahoma"/>
          <w:sz w:val="22"/>
        </w:rPr>
        <w:t>Dorota</w:t>
      </w:r>
      <w:proofErr w:type="spellEnd"/>
      <w:r w:rsidR="00FC421C" w:rsidRPr="00B10626">
        <w:rPr>
          <w:rFonts w:ascii="Tahoma" w:hAnsi="Tahoma" w:cs="Tahoma"/>
          <w:sz w:val="22"/>
        </w:rPr>
        <w:t xml:space="preserve"> </w:t>
      </w:r>
      <w:proofErr w:type="spellStart"/>
      <w:r w:rsidR="00FC421C" w:rsidRPr="00B10626">
        <w:rPr>
          <w:rFonts w:ascii="Tahoma" w:hAnsi="Tahoma" w:cs="Tahoma"/>
          <w:sz w:val="22"/>
        </w:rPr>
        <w:t>Szott-Medinska</w:t>
      </w:r>
      <w:proofErr w:type="spellEnd"/>
      <w:r w:rsidR="00FC421C" w:rsidRPr="00B10626">
        <w:rPr>
          <w:rFonts w:ascii="Tahoma" w:hAnsi="Tahoma" w:cs="Tahoma"/>
          <w:sz w:val="22"/>
        </w:rPr>
        <w:t xml:space="preserve"> </w:t>
      </w:r>
      <w:proofErr w:type="spellStart"/>
      <w:r w:rsidR="00FC421C" w:rsidRPr="00B10626">
        <w:rPr>
          <w:rFonts w:ascii="Tahoma" w:hAnsi="Tahoma" w:cs="Tahoma"/>
          <w:sz w:val="22"/>
        </w:rPr>
        <w:t>şi</w:t>
      </w:r>
      <w:proofErr w:type="spellEnd"/>
      <w:r w:rsidR="00FC421C" w:rsidRPr="00B10626">
        <w:rPr>
          <w:rFonts w:ascii="Tahoma" w:hAnsi="Tahoma" w:cs="Tahoma"/>
          <w:sz w:val="22"/>
        </w:rPr>
        <w:t xml:space="preserve"> </w:t>
      </w:r>
      <w:proofErr w:type="spellStart"/>
      <w:r w:rsidR="00FC421C" w:rsidRPr="00B10626">
        <w:rPr>
          <w:rFonts w:ascii="Tahoma" w:hAnsi="Tahoma" w:cs="Tahoma"/>
          <w:sz w:val="22"/>
        </w:rPr>
        <w:t>alţii</w:t>
      </w:r>
      <w:proofErr w:type="spellEnd"/>
      <w:r w:rsidR="00FC421C" w:rsidRPr="00B10626">
        <w:rPr>
          <w:rFonts w:ascii="Tahoma" w:hAnsi="Tahoma" w:cs="Tahoma"/>
          <w:sz w:val="22"/>
        </w:rPr>
        <w:t xml:space="preserve"> împotriva Poloniei din 09.10.2003)</w:t>
      </w:r>
      <w:r w:rsidR="00FC421C" w:rsidRPr="00B10626">
        <w:rPr>
          <w:rFonts w:ascii="Tahoma" w:hAnsi="Tahoma" w:cs="Tahoma"/>
          <w:sz w:val="22"/>
        </w:rPr>
        <w:t>.</w:t>
      </w:r>
    </w:p>
    <w:p w14:paraId="62E56EE3" w14:textId="7326C42A" w:rsidR="00300C43" w:rsidRPr="00B10626" w:rsidRDefault="004F54FB" w:rsidP="004F54FB">
      <w:pPr>
        <w:spacing w:after="124"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Ținând seama că prezumția de veridicitate a procesului verbal nu are o reglementare legală, fiind o deducție doctrinară, în antiteză cu principiul </w:t>
      </w:r>
      <w:r w:rsidRPr="00B10626">
        <w:rPr>
          <w:rFonts w:ascii="Tahoma" w:hAnsi="Tahoma" w:cs="Tahoma"/>
          <w:i/>
          <w:iCs/>
          <w:sz w:val="22"/>
        </w:rPr>
        <w:t xml:space="preserve">constituțional </w:t>
      </w:r>
      <w:r w:rsidRPr="00B10626">
        <w:rPr>
          <w:rFonts w:ascii="Tahoma" w:hAnsi="Tahoma" w:cs="Tahoma"/>
          <w:sz w:val="22"/>
        </w:rPr>
        <w:t>al prezum</w:t>
      </w:r>
      <w:r w:rsidR="006343F1" w:rsidRPr="00B10626">
        <w:rPr>
          <w:rFonts w:ascii="Tahoma" w:hAnsi="Tahoma" w:cs="Tahoma"/>
          <w:sz w:val="22"/>
        </w:rPr>
        <w:t>ț</w:t>
      </w:r>
      <w:r w:rsidRPr="00B10626">
        <w:rPr>
          <w:rFonts w:ascii="Tahoma" w:hAnsi="Tahoma" w:cs="Tahoma"/>
          <w:sz w:val="22"/>
        </w:rPr>
        <w:t>iei de nev</w:t>
      </w:r>
      <w:r w:rsidR="006343F1" w:rsidRPr="00B10626">
        <w:rPr>
          <w:rFonts w:ascii="Tahoma" w:hAnsi="Tahoma" w:cs="Tahoma"/>
          <w:sz w:val="22"/>
        </w:rPr>
        <w:t xml:space="preserve">inovăție, procesul verbal este nul absolut, pentru că nu descrie nicio modalitate concretă prin care ”constatarea” să poată fi analizată de un judecător. </w:t>
      </w:r>
      <w:r w:rsidR="006343F1" w:rsidRPr="00B10626">
        <w:rPr>
          <w:rFonts w:ascii="Tahoma" w:hAnsi="Tahoma" w:cs="Tahoma"/>
          <w:sz w:val="22"/>
        </w:rPr>
        <w:t xml:space="preserve">În lumina jurisprudenței C.E.D.O. </w:t>
      </w:r>
      <w:r w:rsidR="00300C43" w:rsidRPr="00B10626">
        <w:rPr>
          <w:rFonts w:ascii="Tahoma" w:hAnsi="Tahoma" w:cs="Tahoma"/>
          <w:sz w:val="22"/>
        </w:rPr>
        <w:t xml:space="preserve">prin prisma </w:t>
      </w:r>
      <w:r w:rsidR="006343F1" w:rsidRPr="00B10626">
        <w:rPr>
          <w:rFonts w:ascii="Tahoma" w:hAnsi="Tahoma" w:cs="Tahoma"/>
          <w:sz w:val="22"/>
        </w:rPr>
        <w:t xml:space="preserve">aplicării în cauză a dispozițiilor art. 6 din Convenție, prezentul litigiu trebuie să ofere </w:t>
      </w:r>
      <w:r w:rsidR="006343F1" w:rsidRPr="00B10626">
        <w:rPr>
          <w:rFonts w:ascii="Tahoma" w:hAnsi="Tahoma" w:cs="Tahoma"/>
          <w:sz w:val="22"/>
        </w:rPr>
        <w:t xml:space="preserve">suficiente garanții </w:t>
      </w:r>
      <w:r w:rsidR="00300C43" w:rsidRPr="00B10626">
        <w:rPr>
          <w:rFonts w:ascii="Tahoma" w:hAnsi="Tahoma" w:cs="Tahoma"/>
          <w:sz w:val="22"/>
        </w:rPr>
        <w:t xml:space="preserve">procesuale oricărei persoane sancționate, cu respectarea prezumției de nevinovăție, deci cu dovedirea de către agentul constatator și consemnat corespunzător în procesul verbal, a vinovăției contravenientului, dincolo de orice îndoială rezonabilă. </w:t>
      </w:r>
    </w:p>
    <w:p w14:paraId="7A0B8FA2" w14:textId="3001096B" w:rsidR="00300C43" w:rsidRPr="00B10626" w:rsidRDefault="00300C43" w:rsidP="004F54FB">
      <w:pPr>
        <w:spacing w:after="124" w:line="276" w:lineRule="auto"/>
        <w:ind w:left="0" w:firstLine="72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b/>
          <w:bCs/>
          <w:sz w:val="22"/>
        </w:rPr>
        <w:t>În consecință,</w:t>
      </w:r>
      <w:r w:rsidRPr="00B10626">
        <w:rPr>
          <w:rFonts w:ascii="Tahoma" w:hAnsi="Tahoma" w:cs="Tahoma"/>
          <w:sz w:val="22"/>
        </w:rPr>
        <w:t xml:space="preserve"> întrucât actul de sancționare atacat nu satisface aceste cerințe, se impune anularea acestuia. </w:t>
      </w:r>
      <w:r w:rsidRPr="00B10626">
        <w:rPr>
          <w:rFonts w:ascii="Tahoma" w:hAnsi="Tahoma" w:cs="Tahoma"/>
          <w:sz w:val="22"/>
          <w:highlight w:val="yellow"/>
        </w:rPr>
        <w:t xml:space="preserve"> </w:t>
      </w:r>
    </w:p>
    <w:p w14:paraId="277BB991" w14:textId="4AA0EF71" w:rsidR="002B5A5A" w:rsidRPr="00B10626" w:rsidRDefault="002B5A5A" w:rsidP="00B10626">
      <w:pPr>
        <w:spacing w:after="230" w:line="276" w:lineRule="auto"/>
        <w:ind w:left="0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 </w:t>
      </w:r>
      <w:r w:rsidR="00B10626" w:rsidRPr="00B10626">
        <w:rPr>
          <w:rFonts w:ascii="Tahoma" w:hAnsi="Tahoma" w:cs="Tahoma"/>
          <w:sz w:val="22"/>
        </w:rPr>
        <w:tab/>
      </w:r>
      <w:r w:rsidR="00B10626" w:rsidRPr="00B10626">
        <w:rPr>
          <w:rFonts w:ascii="Tahoma" w:hAnsi="Tahoma" w:cs="Tahoma"/>
          <w:b/>
          <w:bCs/>
          <w:sz w:val="22"/>
        </w:rPr>
        <w:t>ÎN DREPT</w:t>
      </w:r>
      <w:r w:rsidR="00B10626" w:rsidRPr="00B10626">
        <w:rPr>
          <w:rFonts w:ascii="Tahoma" w:hAnsi="Tahoma" w:cs="Tahoma"/>
          <w:sz w:val="22"/>
        </w:rPr>
        <w:t xml:space="preserve">  -  art. 31 și urm. OG 2/2001 și cele analizate mai sus. </w:t>
      </w:r>
    </w:p>
    <w:p w14:paraId="1B0E92AD" w14:textId="191DBB69" w:rsidR="00B10626" w:rsidRPr="00B10626" w:rsidRDefault="00B10626" w:rsidP="00B10626">
      <w:pPr>
        <w:spacing w:after="230" w:line="276" w:lineRule="auto"/>
        <w:ind w:left="0"/>
        <w:rPr>
          <w:rFonts w:ascii="Tahoma" w:hAnsi="Tahoma" w:cs="Tahoma"/>
          <w:sz w:val="22"/>
        </w:rPr>
      </w:pPr>
    </w:p>
    <w:p w14:paraId="24AB6657" w14:textId="327E3548" w:rsidR="00B10626" w:rsidRPr="00B10626" w:rsidRDefault="00B10626" w:rsidP="00B10626">
      <w:pPr>
        <w:spacing w:after="230" w:line="276" w:lineRule="auto"/>
        <w:ind w:left="0"/>
        <w:jc w:val="center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 xml:space="preserve">PETENT, </w:t>
      </w:r>
    </w:p>
    <w:p w14:paraId="2ECED6AF" w14:textId="76679E3C" w:rsidR="00B10626" w:rsidRPr="00B10626" w:rsidRDefault="00B10626" w:rsidP="00B10626">
      <w:pPr>
        <w:spacing w:after="230" w:line="276" w:lineRule="auto"/>
        <w:ind w:left="0"/>
        <w:jc w:val="center"/>
        <w:rPr>
          <w:rFonts w:ascii="Tahoma" w:hAnsi="Tahoma" w:cs="Tahoma"/>
          <w:sz w:val="22"/>
        </w:rPr>
      </w:pPr>
      <w:r w:rsidRPr="00B10626">
        <w:rPr>
          <w:rFonts w:ascii="Tahoma" w:hAnsi="Tahoma" w:cs="Tahoma"/>
          <w:sz w:val="22"/>
        </w:rPr>
        <w:t>....................</w:t>
      </w:r>
    </w:p>
    <w:p w14:paraId="0BE1DFA3" w14:textId="77777777" w:rsidR="002B5A5A" w:rsidRPr="00B10626" w:rsidRDefault="002B5A5A" w:rsidP="0008682C">
      <w:pPr>
        <w:spacing w:line="276" w:lineRule="auto"/>
        <w:ind w:left="0"/>
        <w:rPr>
          <w:rFonts w:ascii="Tahoma" w:hAnsi="Tahoma" w:cs="Tahoma"/>
          <w:sz w:val="22"/>
        </w:rPr>
      </w:pPr>
    </w:p>
    <w:sectPr w:rsidR="002B5A5A" w:rsidRPr="00B10626" w:rsidSect="001238A4">
      <w:pgSz w:w="11907" w:h="16839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7A5A9" w14:textId="77777777" w:rsidR="00C0398B" w:rsidRDefault="00C0398B" w:rsidP="00673DD7">
      <w:pPr>
        <w:spacing w:after="0" w:line="240" w:lineRule="auto"/>
      </w:pPr>
      <w:r>
        <w:separator/>
      </w:r>
    </w:p>
  </w:endnote>
  <w:endnote w:type="continuationSeparator" w:id="0">
    <w:p w14:paraId="27C50A73" w14:textId="77777777" w:rsidR="00C0398B" w:rsidRDefault="00C0398B" w:rsidP="0067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AF650" w14:textId="77777777" w:rsidR="00C0398B" w:rsidRDefault="00C0398B" w:rsidP="00673DD7">
      <w:pPr>
        <w:spacing w:after="0" w:line="240" w:lineRule="auto"/>
      </w:pPr>
      <w:r>
        <w:separator/>
      </w:r>
    </w:p>
  </w:footnote>
  <w:footnote w:type="continuationSeparator" w:id="0">
    <w:p w14:paraId="07D1EC05" w14:textId="77777777" w:rsidR="00C0398B" w:rsidRDefault="00C0398B" w:rsidP="00673DD7">
      <w:pPr>
        <w:spacing w:after="0" w:line="240" w:lineRule="auto"/>
      </w:pPr>
      <w:r>
        <w:continuationSeparator/>
      </w:r>
    </w:p>
  </w:footnote>
  <w:footnote w:id="1">
    <w:p w14:paraId="1B7B3B02" w14:textId="77777777" w:rsidR="00673DD7" w:rsidRPr="00673DD7" w:rsidRDefault="00673DD7" w:rsidP="00673DD7">
      <w:pPr>
        <w:pStyle w:val="Textnotdesubsol"/>
        <w:rPr>
          <w:rFonts w:ascii="Arial" w:hAnsi="Arial" w:cs="Arial"/>
          <w:sz w:val="16"/>
          <w:szCs w:val="16"/>
        </w:rPr>
      </w:pPr>
      <w:r w:rsidRPr="00673DD7">
        <w:rPr>
          <w:rStyle w:val="Referinnotdesubsol"/>
          <w:rFonts w:ascii="Arial" w:hAnsi="Arial" w:cs="Arial"/>
          <w:sz w:val="16"/>
          <w:szCs w:val="16"/>
        </w:rPr>
        <w:footnoteRef/>
      </w:r>
      <w:r w:rsidRPr="00673DD7">
        <w:rPr>
          <w:rFonts w:ascii="Arial" w:hAnsi="Arial" w:cs="Arial"/>
          <w:sz w:val="16"/>
          <w:szCs w:val="16"/>
        </w:rPr>
        <w:t xml:space="preserve">   </w:t>
      </w:r>
      <w:r w:rsidRPr="00673DD7">
        <w:rPr>
          <w:rFonts w:ascii="Arial" w:hAnsi="Arial" w:cs="Arial"/>
          <w:sz w:val="16"/>
          <w:szCs w:val="16"/>
        </w:rPr>
        <w:t>Prin</w:t>
      </w:r>
      <w:r w:rsidRPr="00673DD7">
        <w:rPr>
          <w:rFonts w:ascii="Arial" w:hAnsi="Arial" w:cs="Arial"/>
          <w:b/>
          <w:bCs/>
          <w:sz w:val="16"/>
          <w:szCs w:val="16"/>
        </w:rPr>
        <w:t xml:space="preserve"> DECIZIA CCR nr. 457/2020 </w:t>
      </w:r>
      <w:r w:rsidRPr="00673DD7">
        <w:rPr>
          <w:rFonts w:ascii="Arial" w:hAnsi="Arial" w:cs="Arial"/>
          <w:sz w:val="16"/>
          <w:szCs w:val="16"/>
        </w:rPr>
        <w:t>s-a stabilit că :</w:t>
      </w:r>
    </w:p>
    <w:p w14:paraId="61936A08" w14:textId="77777777" w:rsidR="00673DD7" w:rsidRPr="00673DD7" w:rsidRDefault="00673DD7" w:rsidP="00673DD7">
      <w:pPr>
        <w:pStyle w:val="Textnotdesubsol"/>
        <w:rPr>
          <w:rFonts w:ascii="Arial" w:hAnsi="Arial" w:cs="Arial"/>
          <w:i/>
          <w:iCs/>
          <w:sz w:val="16"/>
          <w:szCs w:val="16"/>
        </w:rPr>
      </w:pPr>
      <w:r w:rsidRPr="00673DD7">
        <w:rPr>
          <w:rFonts w:ascii="Arial" w:hAnsi="Arial" w:cs="Arial"/>
          <w:i/>
          <w:iCs/>
          <w:sz w:val="16"/>
          <w:szCs w:val="16"/>
        </w:rPr>
        <w:t xml:space="preserve">64. În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jurisprudenţa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sa, Curtea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Constituţională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a subliniat că art. 1 alin. (5) din </w:t>
      </w:r>
      <w:hyperlink r:id="rId1" w:anchor="/dokument/16777906?cm=DOCUMENT" w:tgtFrame="_blank" w:history="1">
        <w:proofErr w:type="spellStart"/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Constituţie</w:t>
        </w:r>
        <w:proofErr w:type="spellEnd"/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 consacră principiul respectării obligatorii a legilor. Pentru a fi respectată de destinatarii săi, legea trebuie să îndeplinească anumite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cerinţe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de precizie, claritate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previzibilitate, astfel încât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aceşti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destinatari să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îşi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poată adapta în mod corespunzător conduita. De principiu, orice act normativ trebuie să îndeplinească anumite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condiţii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calitative, printre acestea numărându-se previzibilitatea, ceea ce presupune că acesta trebuie să fie suficient de precis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clar pentru a putea fi aplicat; astfel, formularea cu o precizie suficientă a actului normativ permite persoanelor interesate-care pot apela, la nevoie, la sfatul unui specialist-să prevadă într-o măsură rezonabilă, în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circumstanţele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speţei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,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consecinţele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care pot rezulta dintr-un act determinat (Decizia nr. </w:t>
      </w:r>
      <w:hyperlink r:id="rId2" w:anchor="/dokument/16911347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903 din 6 iulie 2010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, publicată în Monitorul Oficial al României, Partea I, nr. 584 din 17 august 2010; Decizia nr. </w:t>
      </w:r>
      <w:hyperlink r:id="rId3" w:anchor="/dokument/16919335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743 din 2 iunie 2011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, publicată în Monitorul Oficial al României, Partea I, nr. 579 din 16 august 2011; Decizia nr. </w:t>
      </w:r>
      <w:hyperlink r:id="rId4" w:anchor="/dokument/16945369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662 din 11 noiembrie 2014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, publicată în Monitorul Oficial al României, Partea I, nr. 47 din 20 ianuarie 2015). Respectarea legilor este obligatorie, însă nu se poate pretinde unui subiect de drept să respecte o lege care nu este clară, precisă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previzibilă, întrucât acesta nu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îşi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poate adapta conduita în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funcţie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de ipoteza normativă a legii. De aceea, </w:t>
      </w:r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legiuitorul trebuie să manifeste o deosebită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atenţie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 atunci când adoptă un act normativ</w:t>
      </w:r>
      <w:r w:rsidRPr="00673DD7">
        <w:rPr>
          <w:rFonts w:ascii="Arial" w:hAnsi="Arial" w:cs="Arial"/>
          <w:i/>
          <w:iCs/>
          <w:sz w:val="16"/>
          <w:szCs w:val="16"/>
        </w:rPr>
        <w:t xml:space="preserve"> (Decizia nr. </w:t>
      </w:r>
      <w:hyperlink r:id="rId5" w:anchor="/dokument/16938959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1 din 10 ianuarie 2014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, publicată în Monitorul Oficial al României, Partea I, nr. 123 din 19 februarie 2014). O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dispoziţie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legală trebuie să fie precisă, neechivocă, să instituie norme clare, previzibile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accesibile, a căror aplicare să nu permită arbitrarul sau abuzul (Decizia nr. </w:t>
      </w:r>
      <w:hyperlink r:id="rId6" w:anchor="/dokument/16951653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637 din 13 octombrie 2015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>, publicată în Monitorul Oficial al României, Partea I, nr. 906 din 8 decembrie 2015).</w:t>
      </w:r>
    </w:p>
    <w:p w14:paraId="6F57987C" w14:textId="77777777" w:rsidR="00673DD7" w:rsidRPr="00673DD7" w:rsidRDefault="00673DD7" w:rsidP="00673DD7">
      <w:pPr>
        <w:pStyle w:val="Textnotdesubsol"/>
        <w:rPr>
          <w:rFonts w:ascii="Arial" w:hAnsi="Arial" w:cs="Arial"/>
          <w:sz w:val="16"/>
          <w:szCs w:val="16"/>
        </w:rPr>
      </w:pPr>
      <w:r w:rsidRPr="00673DD7">
        <w:rPr>
          <w:rFonts w:ascii="Arial" w:hAnsi="Arial" w:cs="Arial"/>
          <w:i/>
          <w:iCs/>
          <w:sz w:val="16"/>
          <w:szCs w:val="16"/>
        </w:rPr>
        <w:t xml:space="preserve">65. Cu referire la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exigenţele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de calitate a legii în materie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contravenţională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, Curtea a statuat recent că "dreptul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contravenţional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, asemenea dreptului penal, are un caracter subsidiar, intervenind doar acolo unde alte mijloace juridice nu sunt suficiente pentru protejarea anumitor valori sociale. </w:t>
      </w:r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În aceste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condiţii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, actele normative cu putere de lege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 actele administrative cu caracter normativ prin care se stabilesc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 se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sancţionează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>contravenţii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673DD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trebuie să întrunească toate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condiţiile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de calitate ale normei: accesibilitate, claritate, precizie </w:t>
      </w:r>
      <w:proofErr w:type="spellStart"/>
      <w:r w:rsidRPr="00673DD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şi</w:t>
      </w:r>
      <w:proofErr w:type="spellEnd"/>
      <w:r w:rsidRPr="00673DD7"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 previzibilitate</w:t>
      </w:r>
      <w:r w:rsidRPr="00673DD7">
        <w:rPr>
          <w:rFonts w:ascii="Arial" w:hAnsi="Arial" w:cs="Arial"/>
          <w:i/>
          <w:iCs/>
          <w:sz w:val="16"/>
          <w:szCs w:val="16"/>
        </w:rPr>
        <w:t xml:space="preserve">" (Decizia nr. </w:t>
      </w:r>
      <w:hyperlink r:id="rId7" w:anchor="/dokument/16986614?cm=DOCUMENT" w:tgtFrame="_blank" w:history="1">
        <w:r w:rsidRPr="00673DD7">
          <w:rPr>
            <w:rStyle w:val="Hyperlink"/>
            <w:rFonts w:ascii="Arial" w:hAnsi="Arial" w:cs="Arial"/>
            <w:i/>
            <w:iCs/>
            <w:sz w:val="16"/>
            <w:szCs w:val="16"/>
          </w:rPr>
          <w:t>152 din 6 mai 2020</w:t>
        </w:r>
      </w:hyperlink>
      <w:r w:rsidRPr="00673DD7">
        <w:rPr>
          <w:rFonts w:ascii="Arial" w:hAnsi="Arial" w:cs="Arial"/>
          <w:i/>
          <w:iCs/>
          <w:sz w:val="16"/>
          <w:szCs w:val="16"/>
        </w:rPr>
        <w:t xml:space="preserve">, publicată în Monitorul Oficial al României, Partea I, paragraful 130). </w:t>
      </w:r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Stabilirea faptelor a căror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săvârşire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 constituie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contravenţii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 trebuie realizată cu respectarea acestor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exigenţe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>, iar nu lăsată, în mod arbitrar, la libera apreciere a agentului constatator</w:t>
      </w:r>
      <w:r w:rsidRPr="00673DD7">
        <w:rPr>
          <w:rFonts w:ascii="Arial" w:hAnsi="Arial" w:cs="Arial"/>
          <w:i/>
          <w:iCs/>
          <w:sz w:val="16"/>
          <w:szCs w:val="16"/>
        </w:rPr>
        <w:t xml:space="preserve">, fără ca legiuitorul să fi stabilit criteriile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condiţiile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necesare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operaţiunii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de constatare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sancţionare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a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contravenţiilor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>. Totodată,</w:t>
      </w:r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 în lipsa unei reprezentări clare a elementelor care constituie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contravenţia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, judecătorul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însuşi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 nu dispune de reperele necesare în aplicarea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  <w:u w:val="single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  <w:u w:val="single"/>
        </w:rPr>
        <w:t xml:space="preserve"> interpretarea legi</w:t>
      </w:r>
      <w:r w:rsidRPr="00673DD7">
        <w:rPr>
          <w:rFonts w:ascii="Arial" w:hAnsi="Arial" w:cs="Arial"/>
          <w:i/>
          <w:iCs/>
          <w:sz w:val="16"/>
          <w:szCs w:val="16"/>
        </w:rPr>
        <w:t xml:space="preserve">i, cu prilejul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soluţionării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plângerii îndreptate asupra procesului-verbal de constatare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şi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sancţionare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 xml:space="preserve"> a </w:t>
      </w:r>
      <w:proofErr w:type="spellStart"/>
      <w:r w:rsidRPr="00673DD7">
        <w:rPr>
          <w:rFonts w:ascii="Arial" w:hAnsi="Arial" w:cs="Arial"/>
          <w:i/>
          <w:iCs/>
          <w:sz w:val="16"/>
          <w:szCs w:val="16"/>
        </w:rPr>
        <w:t>contravenţiei</w:t>
      </w:r>
      <w:proofErr w:type="spellEnd"/>
      <w:r w:rsidRPr="00673DD7">
        <w:rPr>
          <w:rFonts w:ascii="Arial" w:hAnsi="Arial" w:cs="Arial"/>
          <w:i/>
          <w:iCs/>
          <w:sz w:val="16"/>
          <w:szCs w:val="16"/>
        </w:rPr>
        <w:t>.</w:t>
      </w:r>
      <w:r w:rsidRPr="00673DD7">
        <w:rPr>
          <w:rFonts w:ascii="Arial" w:hAnsi="Arial" w:cs="Arial"/>
          <w:sz w:val="16"/>
          <w:szCs w:val="16"/>
        </w:rPr>
        <w:t xml:space="preserve"> ”</w:t>
      </w:r>
    </w:p>
    <w:p w14:paraId="366FEEF2" w14:textId="0E81B640" w:rsidR="00673DD7" w:rsidRPr="00673DD7" w:rsidRDefault="00673DD7" w:rsidP="00673DD7">
      <w:pPr>
        <w:pStyle w:val="Textnotdesubsol"/>
        <w:ind w:left="0" w:firstLine="0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85598"/>
    <w:multiLevelType w:val="hybridMultilevel"/>
    <w:tmpl w:val="DDB4D394"/>
    <w:lvl w:ilvl="0" w:tplc="8838522A">
      <w:start w:val="2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F22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C65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28F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9E9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809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42F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051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0C7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9C09B2"/>
    <w:multiLevelType w:val="hybridMultilevel"/>
    <w:tmpl w:val="5CB02A54"/>
    <w:lvl w:ilvl="0" w:tplc="3DA0B702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E499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F2E8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4E86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1CFC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4872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2AC9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3287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5EAF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D2037"/>
    <w:multiLevelType w:val="hybridMultilevel"/>
    <w:tmpl w:val="1212A124"/>
    <w:lvl w:ilvl="0" w:tplc="71789378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A62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5A46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01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DED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3A3D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0886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1429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EE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5A"/>
    <w:rsid w:val="00011079"/>
    <w:rsid w:val="0008682C"/>
    <w:rsid w:val="000B3A2A"/>
    <w:rsid w:val="0010459D"/>
    <w:rsid w:val="001238A4"/>
    <w:rsid w:val="00181977"/>
    <w:rsid w:val="00195515"/>
    <w:rsid w:val="001B2877"/>
    <w:rsid w:val="002B5A5A"/>
    <w:rsid w:val="00300C43"/>
    <w:rsid w:val="003243C4"/>
    <w:rsid w:val="00357A78"/>
    <w:rsid w:val="0038298D"/>
    <w:rsid w:val="003F03CF"/>
    <w:rsid w:val="00411B6F"/>
    <w:rsid w:val="00412D86"/>
    <w:rsid w:val="004A60B1"/>
    <w:rsid w:val="004F54FB"/>
    <w:rsid w:val="004F581A"/>
    <w:rsid w:val="00524C79"/>
    <w:rsid w:val="005435D2"/>
    <w:rsid w:val="00554121"/>
    <w:rsid w:val="00567F82"/>
    <w:rsid w:val="005C4584"/>
    <w:rsid w:val="006343F1"/>
    <w:rsid w:val="0066657C"/>
    <w:rsid w:val="00670846"/>
    <w:rsid w:val="00673DD7"/>
    <w:rsid w:val="006852E2"/>
    <w:rsid w:val="006D2875"/>
    <w:rsid w:val="007000A1"/>
    <w:rsid w:val="00765B36"/>
    <w:rsid w:val="0078088B"/>
    <w:rsid w:val="0078512F"/>
    <w:rsid w:val="008641F5"/>
    <w:rsid w:val="008A2A47"/>
    <w:rsid w:val="008C51E6"/>
    <w:rsid w:val="00952C98"/>
    <w:rsid w:val="0098020A"/>
    <w:rsid w:val="00987055"/>
    <w:rsid w:val="009B0711"/>
    <w:rsid w:val="00A16B47"/>
    <w:rsid w:val="00A462A4"/>
    <w:rsid w:val="00A62999"/>
    <w:rsid w:val="00A653D7"/>
    <w:rsid w:val="00AC2111"/>
    <w:rsid w:val="00B10626"/>
    <w:rsid w:val="00B11E13"/>
    <w:rsid w:val="00BB7E1C"/>
    <w:rsid w:val="00BC1711"/>
    <w:rsid w:val="00C0398B"/>
    <w:rsid w:val="00C75D85"/>
    <w:rsid w:val="00C854E6"/>
    <w:rsid w:val="00D439E2"/>
    <w:rsid w:val="00D454A5"/>
    <w:rsid w:val="00D66F9E"/>
    <w:rsid w:val="00D911D2"/>
    <w:rsid w:val="00DB2A58"/>
    <w:rsid w:val="00E54C6E"/>
    <w:rsid w:val="00F02A1F"/>
    <w:rsid w:val="00F6573B"/>
    <w:rsid w:val="00F750A4"/>
    <w:rsid w:val="00FB5BE0"/>
    <w:rsid w:val="00FC421C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1ADF"/>
  <w15:chartTrackingRefBased/>
  <w15:docId w15:val="{AE857703-FA29-4DDB-B753-AF413F2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5A"/>
    <w:pPr>
      <w:spacing w:after="180" w:line="37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  <w:lang w:val="ro-RO"/>
    </w:rPr>
  </w:style>
  <w:style w:type="paragraph" w:styleId="Titlu1">
    <w:name w:val="heading 1"/>
    <w:next w:val="Normal"/>
    <w:link w:val="Titlu1Caracter"/>
    <w:uiPriority w:val="9"/>
    <w:qFormat/>
    <w:rsid w:val="002B5A5A"/>
    <w:pPr>
      <w:keepNext/>
      <w:keepLines/>
      <w:spacing w:after="324"/>
      <w:ind w:lef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B5A5A"/>
    <w:rPr>
      <w:rFonts w:ascii="Times New Roman" w:eastAsia="Times New Roman" w:hAnsi="Times New Roman" w:cs="Times New Roman"/>
      <w:b/>
      <w:color w:val="000000"/>
      <w:sz w:val="26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512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11B6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11B6F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73DD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73DD7"/>
    <w:rPr>
      <w:rFonts w:ascii="Times New Roman" w:eastAsia="Times New Roman" w:hAnsi="Times New Roman" w:cs="Times New Roman"/>
      <w:color w:val="000000"/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673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83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99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871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930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act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ntact.ro/" TargetMode="External"/><Relationship Id="rId7" Type="http://schemas.openxmlformats.org/officeDocument/2006/relationships/hyperlink" Target="https://sintact.ro/" TargetMode="External"/><Relationship Id="rId2" Type="http://schemas.openxmlformats.org/officeDocument/2006/relationships/hyperlink" Target="https://sintact.ro/" TargetMode="External"/><Relationship Id="rId1" Type="http://schemas.openxmlformats.org/officeDocument/2006/relationships/hyperlink" Target="https://sintact.ro/" TargetMode="External"/><Relationship Id="rId6" Type="http://schemas.openxmlformats.org/officeDocument/2006/relationships/hyperlink" Target="https://sintact.ro/" TargetMode="External"/><Relationship Id="rId5" Type="http://schemas.openxmlformats.org/officeDocument/2006/relationships/hyperlink" Target="https://sintact.ro/" TargetMode="External"/><Relationship Id="rId4" Type="http://schemas.openxmlformats.org/officeDocument/2006/relationships/hyperlink" Target="https://sintact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E5EA6-BD21-4E62-A158-E9AF4A51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993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horatiu schiopu</cp:lastModifiedBy>
  <cp:revision>1</cp:revision>
  <dcterms:created xsi:type="dcterms:W3CDTF">2020-11-10T14:15:00Z</dcterms:created>
  <dcterms:modified xsi:type="dcterms:W3CDTF">2020-11-10T17:34:00Z</dcterms:modified>
</cp:coreProperties>
</file>